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A68CC" w14:textId="79B382F9" w:rsidR="001B6D13" w:rsidRPr="00EF7E68" w:rsidRDefault="00EF7E68" w:rsidP="00EF7E68">
      <w:pPr>
        <w:jc w:val="center"/>
        <w:rPr>
          <w:rFonts w:ascii="Times New Roman" w:hAnsi="Times New Roman" w:cs="Times New Roman"/>
          <w:sz w:val="32"/>
          <w:szCs w:val="32"/>
          <w:lang w:val="en-GB"/>
        </w:rPr>
      </w:pPr>
      <w:r w:rsidRPr="00EF7E68">
        <w:rPr>
          <w:rFonts w:ascii="Times New Roman" w:hAnsi="Times New Roman" w:cs="Times New Roman"/>
          <w:sz w:val="32"/>
          <w:szCs w:val="32"/>
          <w:lang w:val="en-GB"/>
        </w:rPr>
        <w:t>The Fallacy of Infinite Growth: Rethinking Economic Progress in the Anthropocene</w:t>
      </w:r>
    </w:p>
    <w:p w14:paraId="556F1BB5" w14:textId="77777777" w:rsidR="00EF7E68" w:rsidRDefault="00EF7E68" w:rsidP="001B6D13">
      <w:pPr>
        <w:jc w:val="both"/>
        <w:rPr>
          <w:rFonts w:ascii="Times New Roman" w:hAnsi="Times New Roman" w:cs="Times New Roman"/>
          <w:sz w:val="24"/>
          <w:szCs w:val="24"/>
          <w:lang w:val="en-GB"/>
        </w:rPr>
      </w:pPr>
    </w:p>
    <w:p w14:paraId="2F95936E" w14:textId="77777777" w:rsidR="00EF7E68" w:rsidRPr="009B0DFE" w:rsidRDefault="00EF7E68" w:rsidP="00EF7E68">
      <w:pPr>
        <w:jc w:val="both"/>
        <w:rPr>
          <w:rFonts w:ascii="Times New Roman" w:hAnsi="Times New Roman" w:cs="Times New Roman"/>
          <w:b/>
          <w:bCs/>
          <w:sz w:val="24"/>
          <w:szCs w:val="24"/>
          <w:lang w:val="en-GB"/>
        </w:rPr>
      </w:pPr>
      <w:r w:rsidRPr="009B0DFE">
        <w:rPr>
          <w:rFonts w:ascii="Times New Roman" w:hAnsi="Times New Roman" w:cs="Times New Roman"/>
          <w:b/>
          <w:bCs/>
          <w:sz w:val="24"/>
          <w:szCs w:val="24"/>
          <w:lang w:val="en-GB"/>
        </w:rPr>
        <w:t>Authors</w:t>
      </w:r>
      <w:r w:rsidRPr="009B0DFE">
        <w:rPr>
          <w:rFonts w:ascii="Times New Roman" w:hAnsi="Times New Roman" w:cs="Times New Roman"/>
          <w:b/>
          <w:bCs/>
          <w:sz w:val="24"/>
          <w:szCs w:val="24"/>
          <w:vertAlign w:val="superscript"/>
          <w:lang w:val="en-GB"/>
        </w:rPr>
        <w:t>12</w:t>
      </w:r>
    </w:p>
    <w:p w14:paraId="1845A247" w14:textId="4C4D9D9D" w:rsidR="00EF7E68" w:rsidRPr="009B0DFE" w:rsidRDefault="00EF7E68" w:rsidP="00EF7E68">
      <w:pPr>
        <w:rPr>
          <w:rFonts w:ascii="Times New Roman" w:hAnsi="Times New Roman" w:cs="Times New Roman"/>
          <w:sz w:val="20"/>
          <w:szCs w:val="20"/>
          <w:lang w:val="en-GB"/>
        </w:rPr>
      </w:pPr>
      <w:r w:rsidRPr="009B0DFE">
        <w:rPr>
          <w:rFonts w:ascii="Times New Roman" w:hAnsi="Times New Roman" w:cs="Times New Roman"/>
          <w:sz w:val="20"/>
          <w:szCs w:val="20"/>
          <w:vertAlign w:val="superscript"/>
          <w:lang w:val="en-GB"/>
        </w:rPr>
        <w:t>1</w:t>
      </w:r>
      <w:r w:rsidRPr="009B0DFE">
        <w:rPr>
          <w:rFonts w:ascii="Times New Roman" w:hAnsi="Times New Roman" w:cs="Times New Roman"/>
          <w:sz w:val="20"/>
          <w:szCs w:val="20"/>
          <w:lang w:val="en-GB"/>
        </w:rPr>
        <w:t xml:space="preserve"> Frans </w:t>
      </w:r>
      <w:proofErr w:type="spellStart"/>
      <w:r w:rsidRPr="009B0DFE">
        <w:rPr>
          <w:rFonts w:ascii="Times New Roman" w:hAnsi="Times New Roman" w:cs="Times New Roman"/>
          <w:sz w:val="20"/>
          <w:szCs w:val="20"/>
          <w:lang w:val="en-GB"/>
        </w:rPr>
        <w:t>Lavdari</w:t>
      </w:r>
      <w:proofErr w:type="spellEnd"/>
      <w:r>
        <w:rPr>
          <w:rFonts w:ascii="Times New Roman" w:hAnsi="Times New Roman" w:cs="Times New Roman"/>
          <w:sz w:val="20"/>
          <w:szCs w:val="20"/>
          <w:lang w:val="en-GB"/>
        </w:rPr>
        <w:t>,</w:t>
      </w:r>
      <w:r w:rsidRPr="009B0DFE">
        <w:rPr>
          <w:rFonts w:ascii="Times New Roman" w:hAnsi="Times New Roman" w:cs="Times New Roman"/>
          <w:sz w:val="20"/>
          <w:szCs w:val="20"/>
          <w:lang w:val="en-GB"/>
        </w:rPr>
        <w:t>*</w:t>
      </w:r>
      <w:r>
        <w:rPr>
          <w:rFonts w:ascii="Times New Roman" w:hAnsi="Times New Roman" w:cs="Times New Roman"/>
          <w:sz w:val="20"/>
          <w:szCs w:val="20"/>
          <w:lang w:val="en-GB"/>
        </w:rPr>
        <w:t xml:space="preserve"> </w:t>
      </w:r>
      <w:proofErr w:type="spellStart"/>
      <w:r>
        <w:rPr>
          <w:rFonts w:ascii="Times New Roman" w:hAnsi="Times New Roman" w:cs="Times New Roman"/>
          <w:sz w:val="20"/>
          <w:szCs w:val="20"/>
          <w:lang w:val="en-GB"/>
        </w:rPr>
        <w:t>Phd</w:t>
      </w:r>
      <w:proofErr w:type="spellEnd"/>
      <w:r w:rsidRPr="009B0DFE">
        <w:rPr>
          <w:rFonts w:ascii="Times New Roman" w:hAnsi="Times New Roman" w:cs="Times New Roman"/>
          <w:sz w:val="20"/>
          <w:szCs w:val="20"/>
          <w:lang w:val="en-GB"/>
        </w:rPr>
        <w:t xml:space="preserve">, Department of </w:t>
      </w:r>
      <w:r>
        <w:rPr>
          <w:rFonts w:ascii="Times New Roman" w:hAnsi="Times New Roman" w:cs="Times New Roman"/>
          <w:sz w:val="20"/>
          <w:szCs w:val="20"/>
          <w:lang w:val="en-GB"/>
        </w:rPr>
        <w:t>Social Sciences and Economics</w:t>
      </w:r>
      <w:r w:rsidRPr="009B0DFE">
        <w:rPr>
          <w:rFonts w:ascii="Times New Roman" w:hAnsi="Times New Roman" w:cs="Times New Roman"/>
          <w:sz w:val="20"/>
          <w:szCs w:val="20"/>
          <w:lang w:val="en-GB"/>
        </w:rPr>
        <w:t xml:space="preserve">, </w:t>
      </w:r>
      <w:r>
        <w:rPr>
          <w:rFonts w:ascii="Times New Roman" w:hAnsi="Times New Roman" w:cs="Times New Roman"/>
          <w:sz w:val="20"/>
          <w:szCs w:val="20"/>
          <w:lang w:val="en-GB"/>
        </w:rPr>
        <w:t>Sapienza University of Rome</w:t>
      </w:r>
      <w:r w:rsidRPr="009B0DFE">
        <w:rPr>
          <w:rFonts w:ascii="Times New Roman" w:hAnsi="Times New Roman" w:cs="Times New Roman"/>
          <w:sz w:val="20"/>
          <w:szCs w:val="20"/>
          <w:lang w:val="en-GB"/>
        </w:rPr>
        <w:t>, Rome, Italy, frans.lavdari@outlook.com;</w:t>
      </w:r>
    </w:p>
    <w:p w14:paraId="426F43ED" w14:textId="77777777" w:rsidR="00EF7E68" w:rsidRPr="00EF7E68" w:rsidRDefault="00EF7E68" w:rsidP="00EF7E68">
      <w:pPr>
        <w:rPr>
          <w:rFonts w:ascii="Times New Roman" w:hAnsi="Times New Roman" w:cs="Times New Roman"/>
          <w:i/>
          <w:iCs/>
          <w:sz w:val="20"/>
          <w:szCs w:val="20"/>
          <w:lang w:val="en-GB"/>
        </w:rPr>
      </w:pPr>
      <w:r w:rsidRPr="00EF7E68">
        <w:rPr>
          <w:rFonts w:ascii="Times New Roman" w:hAnsi="Times New Roman" w:cs="Times New Roman"/>
          <w:i/>
          <w:iCs/>
          <w:sz w:val="20"/>
          <w:szCs w:val="20"/>
          <w:lang w:val="en-GB"/>
        </w:rPr>
        <w:t>*Corresponding Author</w:t>
      </w:r>
    </w:p>
    <w:p w14:paraId="418DB589" w14:textId="77777777" w:rsidR="00EF7E68" w:rsidRPr="009B0DFE" w:rsidRDefault="00EF7E68" w:rsidP="00EF7E68">
      <w:pPr>
        <w:rPr>
          <w:rFonts w:ascii="Times New Roman" w:hAnsi="Times New Roman" w:cs="Times New Roman"/>
          <w:sz w:val="20"/>
          <w:szCs w:val="20"/>
          <w:lang w:val="en-GB"/>
        </w:rPr>
      </w:pPr>
      <w:r w:rsidRPr="009B0DFE">
        <w:rPr>
          <w:rFonts w:ascii="Times New Roman" w:hAnsi="Times New Roman" w:cs="Times New Roman"/>
          <w:sz w:val="20"/>
          <w:szCs w:val="20"/>
          <w:vertAlign w:val="superscript"/>
          <w:lang w:val="en-GB"/>
        </w:rPr>
        <w:t>2</w:t>
      </w:r>
      <w:r w:rsidRPr="009B0DFE">
        <w:rPr>
          <w:rFonts w:ascii="Times New Roman" w:hAnsi="Times New Roman" w:cs="Times New Roman"/>
          <w:sz w:val="20"/>
          <w:szCs w:val="20"/>
          <w:lang w:val="en-GB"/>
        </w:rPr>
        <w:t xml:space="preserve"> </w:t>
      </w:r>
      <w:proofErr w:type="spellStart"/>
      <w:r w:rsidRPr="009B0DFE">
        <w:rPr>
          <w:rFonts w:ascii="Times New Roman" w:hAnsi="Times New Roman" w:cs="Times New Roman"/>
          <w:sz w:val="20"/>
          <w:szCs w:val="20"/>
          <w:lang w:val="en-GB"/>
        </w:rPr>
        <w:t>Xhulio</w:t>
      </w:r>
      <w:proofErr w:type="spellEnd"/>
      <w:r w:rsidRPr="009B0DFE">
        <w:rPr>
          <w:rFonts w:ascii="Times New Roman" w:hAnsi="Times New Roman" w:cs="Times New Roman"/>
          <w:sz w:val="20"/>
          <w:szCs w:val="20"/>
          <w:lang w:val="en-GB"/>
        </w:rPr>
        <w:t xml:space="preserve"> </w:t>
      </w:r>
      <w:proofErr w:type="spellStart"/>
      <w:r w:rsidRPr="009B0DFE">
        <w:rPr>
          <w:rFonts w:ascii="Times New Roman" w:hAnsi="Times New Roman" w:cs="Times New Roman"/>
          <w:sz w:val="20"/>
          <w:szCs w:val="20"/>
          <w:lang w:val="en-GB"/>
        </w:rPr>
        <w:t>Lavdari</w:t>
      </w:r>
      <w:proofErr w:type="spellEnd"/>
      <w:r w:rsidRPr="009B0DFE">
        <w:rPr>
          <w:rFonts w:ascii="Times New Roman" w:hAnsi="Times New Roman" w:cs="Times New Roman"/>
          <w:sz w:val="20"/>
          <w:szCs w:val="20"/>
          <w:lang w:val="en-GB"/>
        </w:rPr>
        <w:t xml:space="preserve">, </w:t>
      </w:r>
      <w:r>
        <w:rPr>
          <w:rFonts w:ascii="Times New Roman" w:hAnsi="Times New Roman" w:cs="Times New Roman"/>
          <w:sz w:val="20"/>
          <w:szCs w:val="20"/>
          <w:lang w:val="en-GB"/>
        </w:rPr>
        <w:t xml:space="preserve">Engr., </w:t>
      </w:r>
      <w:r w:rsidRPr="009B0DFE">
        <w:rPr>
          <w:rFonts w:ascii="Times New Roman" w:hAnsi="Times New Roman" w:cs="Times New Roman"/>
          <w:sz w:val="20"/>
          <w:szCs w:val="20"/>
          <w:lang w:val="en-GB"/>
        </w:rPr>
        <w:t xml:space="preserve">Department of Engineering, Exeter University, United Kingdom, xhlavdari@gmail.com. </w:t>
      </w:r>
    </w:p>
    <w:p w14:paraId="076924DF" w14:textId="77777777" w:rsidR="00EF7E68" w:rsidRDefault="00EF7E68" w:rsidP="001B6D13">
      <w:pPr>
        <w:jc w:val="both"/>
        <w:rPr>
          <w:rFonts w:ascii="Times New Roman" w:hAnsi="Times New Roman" w:cs="Times New Roman"/>
          <w:sz w:val="24"/>
          <w:szCs w:val="24"/>
          <w:lang w:val="en-GB"/>
        </w:rPr>
      </w:pPr>
    </w:p>
    <w:p w14:paraId="21672C39" w14:textId="77777777" w:rsidR="00EF7E68" w:rsidRDefault="00EF7E68" w:rsidP="001B6D13">
      <w:pPr>
        <w:jc w:val="both"/>
        <w:rPr>
          <w:rFonts w:ascii="Times New Roman" w:hAnsi="Times New Roman" w:cs="Times New Roman"/>
          <w:sz w:val="24"/>
          <w:szCs w:val="24"/>
          <w:lang w:val="en-GB"/>
        </w:rPr>
      </w:pPr>
    </w:p>
    <w:p w14:paraId="5988F078" w14:textId="0E5F5170" w:rsidR="001B6D13" w:rsidRPr="00EF7E68" w:rsidRDefault="001B6D13" w:rsidP="001B6D13">
      <w:pPr>
        <w:jc w:val="both"/>
        <w:rPr>
          <w:rFonts w:ascii="Times New Roman" w:hAnsi="Times New Roman" w:cs="Times New Roman"/>
          <w:b/>
          <w:bCs/>
          <w:sz w:val="24"/>
          <w:szCs w:val="24"/>
          <w:lang w:val="en-GB"/>
        </w:rPr>
      </w:pPr>
      <w:r w:rsidRPr="00EF7E68">
        <w:rPr>
          <w:rFonts w:ascii="Times New Roman" w:hAnsi="Times New Roman" w:cs="Times New Roman"/>
          <w:b/>
          <w:bCs/>
          <w:sz w:val="24"/>
          <w:szCs w:val="24"/>
          <w:lang w:val="en-GB"/>
        </w:rPr>
        <w:t>Abstract</w:t>
      </w:r>
    </w:p>
    <w:p w14:paraId="6E139694" w14:textId="50166282" w:rsidR="001B6D13" w:rsidRDefault="001B6D13" w:rsidP="001B6D13">
      <w:pPr>
        <w:jc w:val="both"/>
        <w:rPr>
          <w:rFonts w:ascii="Times New Roman" w:hAnsi="Times New Roman" w:cs="Times New Roman"/>
          <w:sz w:val="24"/>
          <w:szCs w:val="24"/>
          <w:lang w:val="en-GB"/>
        </w:rPr>
      </w:pPr>
      <w:r w:rsidRPr="001B6D13">
        <w:rPr>
          <w:rFonts w:ascii="Times New Roman" w:hAnsi="Times New Roman" w:cs="Times New Roman"/>
          <w:sz w:val="24"/>
          <w:szCs w:val="24"/>
          <w:lang w:val="en-GB"/>
        </w:rPr>
        <w:t xml:space="preserve">The Anthropocene further sees a critique of the paradigm of infinite economic growth, whereby pressing environmental degradation and obvious social inequalities have kept on exposing the limits of conventional economics time and again. It traces a genealogy of growth-centric economics, focusing on its theoretical underpinning in neoclassical economics but underlining that it has failed to consider planetary boundaries as premises, for example, </w:t>
      </w:r>
      <w:proofErr w:type="spellStart"/>
      <w:r w:rsidRPr="001B6D13">
        <w:rPr>
          <w:rFonts w:ascii="Times New Roman" w:hAnsi="Times New Roman" w:cs="Times New Roman"/>
          <w:sz w:val="24"/>
          <w:szCs w:val="24"/>
          <w:lang w:val="en-GB"/>
        </w:rPr>
        <w:t>Rockström</w:t>
      </w:r>
      <w:proofErr w:type="spellEnd"/>
      <w:r w:rsidRPr="001B6D13">
        <w:rPr>
          <w:rFonts w:ascii="Times New Roman" w:hAnsi="Times New Roman" w:cs="Times New Roman"/>
          <w:sz w:val="24"/>
          <w:szCs w:val="24"/>
          <w:lang w:val="en-GB"/>
        </w:rPr>
        <w:t xml:space="preserve"> et al. </w:t>
      </w:r>
      <w:r w:rsidR="00E2318C">
        <w:rPr>
          <w:rFonts w:ascii="Times New Roman" w:hAnsi="Times New Roman" w:cs="Times New Roman"/>
          <w:sz w:val="24"/>
          <w:szCs w:val="24"/>
          <w:lang w:val="en-GB"/>
        </w:rPr>
        <w:t>(</w:t>
      </w:r>
      <w:r w:rsidRPr="001B6D13">
        <w:rPr>
          <w:rFonts w:ascii="Times New Roman" w:hAnsi="Times New Roman" w:cs="Times New Roman"/>
          <w:sz w:val="24"/>
          <w:szCs w:val="24"/>
          <w:lang w:val="en-GB"/>
        </w:rPr>
        <w:t>2009</w:t>
      </w:r>
      <w:r w:rsidR="00E2318C">
        <w:rPr>
          <w:rFonts w:ascii="Times New Roman" w:hAnsi="Times New Roman" w:cs="Times New Roman"/>
          <w:sz w:val="24"/>
          <w:szCs w:val="24"/>
          <w:lang w:val="en-GB"/>
        </w:rPr>
        <w:t>)</w:t>
      </w:r>
      <w:r w:rsidRPr="001B6D13">
        <w:rPr>
          <w:rFonts w:ascii="Times New Roman" w:hAnsi="Times New Roman" w:cs="Times New Roman"/>
          <w:sz w:val="24"/>
          <w:szCs w:val="24"/>
          <w:lang w:val="en-GB"/>
        </w:rPr>
        <w:t xml:space="preserve">. It further talks about how growth leads to global inequalities piling up in the Global North while the Global South has to deal with its environmental negative costs. Further, this article is going to propose a model of degrowth-reduced consumption, social equity, and environmental sustainability. Case studies on Barcelona's </w:t>
      </w:r>
      <w:r w:rsidR="000B5B16" w:rsidRPr="001B6D13">
        <w:rPr>
          <w:rFonts w:ascii="Times New Roman" w:hAnsi="Times New Roman" w:cs="Times New Roman"/>
          <w:sz w:val="24"/>
          <w:szCs w:val="24"/>
          <w:lang w:val="en-GB"/>
        </w:rPr>
        <w:t>Urban Degrowth Initiatives</w:t>
      </w:r>
      <w:r w:rsidRPr="001B6D13">
        <w:rPr>
          <w:rFonts w:ascii="Times New Roman" w:hAnsi="Times New Roman" w:cs="Times New Roman"/>
          <w:sz w:val="24"/>
          <w:szCs w:val="24"/>
          <w:lang w:val="en-GB"/>
        </w:rPr>
        <w:t>, Gross National Happiness of Bhutan, and a 35-hour workweek of France demonstrate the practicalities of degrowth. It also encompasses the critiques, including those on economic stability and political feasibility, and advances the case for reforms that would provide the well-being without growth, such as universal basic services or circular economies. This article concludes by calling for a redefinition of prosperity in terms of well-being metrics rather than GDP, underlining that a post-growth society could offer a more sustainable and equitable future.</w:t>
      </w:r>
    </w:p>
    <w:p w14:paraId="2D2CDF61" w14:textId="77777777" w:rsidR="001B6D13" w:rsidRDefault="001B6D13" w:rsidP="001B6D13">
      <w:pPr>
        <w:jc w:val="both"/>
        <w:rPr>
          <w:rFonts w:ascii="Times New Roman" w:hAnsi="Times New Roman" w:cs="Times New Roman"/>
          <w:sz w:val="24"/>
          <w:szCs w:val="24"/>
          <w:lang w:val="en-GB"/>
        </w:rPr>
      </w:pPr>
    </w:p>
    <w:p w14:paraId="7C9615D3" w14:textId="46A59E2E" w:rsidR="001B6D13" w:rsidRDefault="001B6D13" w:rsidP="001B6D13">
      <w:pPr>
        <w:jc w:val="both"/>
        <w:rPr>
          <w:rFonts w:ascii="Times New Roman" w:hAnsi="Times New Roman" w:cs="Times New Roman"/>
          <w:sz w:val="24"/>
          <w:szCs w:val="24"/>
          <w:lang w:val="en-GB"/>
        </w:rPr>
      </w:pPr>
      <w:r w:rsidRPr="00E2318C">
        <w:rPr>
          <w:rFonts w:ascii="Times New Roman" w:hAnsi="Times New Roman" w:cs="Times New Roman"/>
          <w:b/>
          <w:bCs/>
          <w:sz w:val="24"/>
          <w:szCs w:val="24"/>
          <w:lang w:val="en-GB"/>
        </w:rPr>
        <w:t>Keywords:</w:t>
      </w:r>
      <w:r w:rsidRPr="001B6D13">
        <w:rPr>
          <w:rFonts w:ascii="Times New Roman" w:hAnsi="Times New Roman" w:cs="Times New Roman"/>
          <w:sz w:val="24"/>
          <w:szCs w:val="24"/>
          <w:lang w:val="en-GB"/>
        </w:rPr>
        <w:t xml:space="preserve"> Anthropocene, </w:t>
      </w:r>
      <w:r w:rsidR="00E2318C" w:rsidRPr="001B6D13">
        <w:rPr>
          <w:rFonts w:ascii="Times New Roman" w:hAnsi="Times New Roman" w:cs="Times New Roman"/>
          <w:sz w:val="24"/>
          <w:szCs w:val="24"/>
          <w:lang w:val="en-GB"/>
        </w:rPr>
        <w:t xml:space="preserve">Infinite Growth, Degrowth, Environmental Sustainability, Social Equity, Planetary Boundaries, </w:t>
      </w:r>
      <w:r w:rsidRPr="001B6D13">
        <w:rPr>
          <w:rFonts w:ascii="Times New Roman" w:hAnsi="Times New Roman" w:cs="Times New Roman"/>
          <w:sz w:val="24"/>
          <w:szCs w:val="24"/>
          <w:lang w:val="en-GB"/>
        </w:rPr>
        <w:t>GDP</w:t>
      </w:r>
      <w:r w:rsidR="00E2318C" w:rsidRPr="001B6D13">
        <w:rPr>
          <w:rFonts w:ascii="Times New Roman" w:hAnsi="Times New Roman" w:cs="Times New Roman"/>
          <w:sz w:val="24"/>
          <w:szCs w:val="24"/>
          <w:lang w:val="en-GB"/>
        </w:rPr>
        <w:t>, Universal Basic Services</w:t>
      </w:r>
      <w:r w:rsidRPr="001B6D13">
        <w:rPr>
          <w:rFonts w:ascii="Times New Roman" w:hAnsi="Times New Roman" w:cs="Times New Roman"/>
          <w:sz w:val="24"/>
          <w:szCs w:val="24"/>
          <w:lang w:val="en-GB"/>
        </w:rPr>
        <w:t>.</w:t>
      </w:r>
    </w:p>
    <w:p w14:paraId="10DC35B1" w14:textId="5965EF75" w:rsidR="001B6D13" w:rsidRPr="000B5B16" w:rsidRDefault="000B5B16" w:rsidP="001B6D13">
      <w:pPr>
        <w:jc w:val="both"/>
        <w:rPr>
          <w:rFonts w:ascii="Times New Roman" w:hAnsi="Times New Roman" w:cs="Times New Roman"/>
          <w:sz w:val="24"/>
          <w:szCs w:val="24"/>
          <w:lang w:val="pl-PL"/>
        </w:rPr>
      </w:pPr>
      <w:r w:rsidRPr="000B5B16">
        <w:rPr>
          <w:rFonts w:ascii="Times New Roman" w:hAnsi="Times New Roman" w:cs="Times New Roman"/>
          <w:b/>
          <w:bCs/>
          <w:sz w:val="24"/>
          <w:szCs w:val="24"/>
          <w:lang w:val="pl-PL"/>
        </w:rPr>
        <w:t>JEL Code:</w:t>
      </w:r>
      <w:r w:rsidRPr="000B5B16">
        <w:rPr>
          <w:rFonts w:ascii="Times New Roman" w:hAnsi="Times New Roman" w:cs="Times New Roman"/>
          <w:sz w:val="24"/>
          <w:szCs w:val="24"/>
          <w:lang w:val="pl-PL"/>
        </w:rPr>
        <w:t xml:space="preserve"> D86; Q50; Z10</w:t>
      </w:r>
    </w:p>
    <w:p w14:paraId="33B68BA9" w14:textId="77777777" w:rsidR="001B6D13" w:rsidRPr="000B5B16" w:rsidRDefault="001B6D13" w:rsidP="001B6D13">
      <w:pPr>
        <w:jc w:val="both"/>
        <w:rPr>
          <w:rFonts w:ascii="Times New Roman" w:hAnsi="Times New Roman" w:cs="Times New Roman"/>
          <w:sz w:val="24"/>
          <w:szCs w:val="24"/>
          <w:lang w:val="pl-PL"/>
        </w:rPr>
      </w:pPr>
      <w:r w:rsidRPr="000B5B16">
        <w:rPr>
          <w:rFonts w:ascii="Times New Roman" w:hAnsi="Times New Roman" w:cs="Times New Roman"/>
          <w:sz w:val="24"/>
          <w:szCs w:val="24"/>
          <w:lang w:val="pl-PL"/>
        </w:rPr>
        <w:br w:type="page"/>
      </w:r>
    </w:p>
    <w:p w14:paraId="7EE12929" w14:textId="29193B5E" w:rsidR="001B6D13" w:rsidRPr="001B6D13" w:rsidRDefault="00DC1C5B" w:rsidP="001B6D13">
      <w:pPr>
        <w:pStyle w:val="ListParagraph"/>
        <w:numPr>
          <w:ilvl w:val="0"/>
          <w:numId w:val="1"/>
        </w:numPr>
        <w:jc w:val="both"/>
        <w:rPr>
          <w:rFonts w:ascii="Times New Roman" w:hAnsi="Times New Roman" w:cs="Times New Roman"/>
          <w:b/>
          <w:bCs/>
          <w:sz w:val="28"/>
          <w:szCs w:val="28"/>
          <w:lang w:val="en-GB"/>
        </w:rPr>
      </w:pPr>
      <w:r w:rsidRPr="001B6D13">
        <w:rPr>
          <w:rFonts w:ascii="Times New Roman" w:hAnsi="Times New Roman" w:cs="Times New Roman"/>
          <w:b/>
          <w:bCs/>
          <w:sz w:val="28"/>
          <w:szCs w:val="28"/>
          <w:lang w:val="en-GB"/>
        </w:rPr>
        <w:lastRenderedPageBreak/>
        <w:t>Introduction</w:t>
      </w:r>
    </w:p>
    <w:p w14:paraId="3F34667E" w14:textId="2146FB0B" w:rsidR="00DC1C5B" w:rsidRPr="001B6D13" w:rsidRDefault="00DC1C5B" w:rsidP="001B6D13">
      <w:pPr>
        <w:pStyle w:val="ListParagraph"/>
        <w:numPr>
          <w:ilvl w:val="1"/>
          <w:numId w:val="1"/>
        </w:numPr>
        <w:jc w:val="both"/>
        <w:rPr>
          <w:rFonts w:ascii="Times New Roman" w:hAnsi="Times New Roman" w:cs="Times New Roman"/>
          <w:b/>
          <w:bCs/>
          <w:sz w:val="24"/>
          <w:szCs w:val="24"/>
          <w:lang w:val="en-GB"/>
        </w:rPr>
      </w:pPr>
      <w:r w:rsidRPr="001B6D13">
        <w:rPr>
          <w:rFonts w:ascii="Times New Roman" w:hAnsi="Times New Roman" w:cs="Times New Roman"/>
          <w:b/>
          <w:bCs/>
          <w:sz w:val="24"/>
          <w:szCs w:val="24"/>
          <w:lang w:val="en-GB"/>
        </w:rPr>
        <w:t>Anthropocene and Economic Philosophy</w:t>
      </w:r>
    </w:p>
    <w:p w14:paraId="584CBA7A" w14:textId="77777777" w:rsidR="00DC1C5B" w:rsidRPr="001B6D13" w:rsidRDefault="00DC1C5B" w:rsidP="001B6D13">
      <w:pPr>
        <w:jc w:val="both"/>
        <w:rPr>
          <w:rFonts w:ascii="Times New Roman" w:hAnsi="Times New Roman" w:cs="Times New Roman"/>
          <w:sz w:val="24"/>
          <w:szCs w:val="24"/>
          <w:lang w:val="en-GB"/>
        </w:rPr>
      </w:pPr>
      <w:r w:rsidRPr="001B6D13">
        <w:rPr>
          <w:rFonts w:ascii="Times New Roman" w:hAnsi="Times New Roman" w:cs="Times New Roman"/>
          <w:sz w:val="24"/>
          <w:szCs w:val="24"/>
          <w:lang w:val="en-GB"/>
        </w:rPr>
        <w:t xml:space="preserve">The Anthropocene, as termed by atmospheric chemist Paul </w:t>
      </w:r>
      <w:proofErr w:type="spellStart"/>
      <w:r w:rsidRPr="001B6D13">
        <w:rPr>
          <w:rFonts w:ascii="Times New Roman" w:hAnsi="Times New Roman" w:cs="Times New Roman"/>
          <w:sz w:val="24"/>
          <w:szCs w:val="24"/>
          <w:lang w:val="en-GB"/>
        </w:rPr>
        <w:t>Crutzen</w:t>
      </w:r>
      <w:proofErr w:type="spellEnd"/>
      <w:r w:rsidRPr="001B6D13">
        <w:rPr>
          <w:rFonts w:ascii="Times New Roman" w:hAnsi="Times New Roman" w:cs="Times New Roman"/>
          <w:sz w:val="24"/>
          <w:szCs w:val="24"/>
          <w:lang w:val="en-GB"/>
        </w:rPr>
        <w:t xml:space="preserve"> in the early 2000s, is a new epoch in which human activities have indeed turned out to be the dominant force that influences Earth's systems (</w:t>
      </w:r>
      <w:proofErr w:type="spellStart"/>
      <w:r w:rsidRPr="001B6D13">
        <w:rPr>
          <w:rFonts w:ascii="Times New Roman" w:hAnsi="Times New Roman" w:cs="Times New Roman"/>
          <w:sz w:val="24"/>
          <w:szCs w:val="24"/>
          <w:lang w:val="en-GB"/>
        </w:rPr>
        <w:t>Crutzen</w:t>
      </w:r>
      <w:proofErr w:type="spellEnd"/>
      <w:r w:rsidRPr="001B6D13">
        <w:rPr>
          <w:rFonts w:ascii="Times New Roman" w:hAnsi="Times New Roman" w:cs="Times New Roman"/>
          <w:sz w:val="24"/>
          <w:szCs w:val="24"/>
          <w:lang w:val="en-GB"/>
        </w:rPr>
        <w:t>, 2002). It is an era marked by unparalleled environmental changes such as climate change, deforestation, ocean acidification, and loss of biodiversity. These changes have also compelled scholars, environmentalists, and economists to take a hard look at how humanity organizes its economic and social structures in the light of sustainability and ecological balance.</w:t>
      </w:r>
    </w:p>
    <w:p w14:paraId="1B592257" w14:textId="4B36065E" w:rsidR="00DC1C5B" w:rsidRPr="001B6D13" w:rsidRDefault="00DC1C5B" w:rsidP="001B6D13">
      <w:pPr>
        <w:jc w:val="both"/>
        <w:rPr>
          <w:rFonts w:ascii="Times New Roman" w:hAnsi="Times New Roman" w:cs="Times New Roman"/>
          <w:sz w:val="24"/>
          <w:szCs w:val="24"/>
          <w:lang w:val="en-GB"/>
        </w:rPr>
      </w:pPr>
      <w:r w:rsidRPr="001B6D13">
        <w:rPr>
          <w:rFonts w:ascii="Times New Roman" w:hAnsi="Times New Roman" w:cs="Times New Roman"/>
          <w:sz w:val="24"/>
          <w:szCs w:val="24"/>
          <w:lang w:val="en-GB"/>
        </w:rPr>
        <w:t>It is actually the concerned economic philosophy that gives the necessary tools for questioning long-held beliefs concerning such issues as progress, growth, and human welfare.</w:t>
      </w:r>
      <w:r w:rsidR="001B6D13">
        <w:rPr>
          <w:rFonts w:ascii="Times New Roman" w:hAnsi="Times New Roman" w:cs="Times New Roman"/>
          <w:sz w:val="24"/>
          <w:szCs w:val="24"/>
          <w:lang w:val="en-GB"/>
        </w:rPr>
        <w:t xml:space="preserve"> </w:t>
      </w:r>
      <w:r w:rsidRPr="001B6D13">
        <w:rPr>
          <w:rFonts w:ascii="Times New Roman" w:hAnsi="Times New Roman" w:cs="Times New Roman"/>
          <w:sz w:val="24"/>
          <w:szCs w:val="24"/>
          <w:lang w:val="en-GB"/>
        </w:rPr>
        <w:t>It has been pegged to an infinite growth-through technological innovation and human ingenuity, the very ideal of neoclassical economics-and ecological limits can be overcome. The very thought is highly questioned in the Anthropocene era. The outcome in the form of industrial growth and the over-exploitation of natural resources is that the environmental degradation accompanying the same raised very critical questions over the feasibility and morality of continuous economic expansion.</w:t>
      </w:r>
    </w:p>
    <w:p w14:paraId="6B56893F" w14:textId="77777777" w:rsidR="00DC1C5B" w:rsidRPr="001B6D13" w:rsidRDefault="00DC1C5B" w:rsidP="001B6D13">
      <w:pPr>
        <w:jc w:val="both"/>
        <w:rPr>
          <w:rFonts w:ascii="Times New Roman" w:hAnsi="Times New Roman" w:cs="Times New Roman"/>
          <w:sz w:val="24"/>
          <w:szCs w:val="24"/>
          <w:lang w:val="en-GB"/>
        </w:rPr>
      </w:pPr>
    </w:p>
    <w:p w14:paraId="25060548" w14:textId="26170444" w:rsidR="00DC1C5B" w:rsidRPr="001B6D13" w:rsidRDefault="00DC1C5B" w:rsidP="001B6D13">
      <w:pPr>
        <w:pStyle w:val="ListParagraph"/>
        <w:numPr>
          <w:ilvl w:val="1"/>
          <w:numId w:val="1"/>
        </w:numPr>
        <w:jc w:val="both"/>
        <w:rPr>
          <w:rFonts w:ascii="Times New Roman" w:hAnsi="Times New Roman" w:cs="Times New Roman"/>
          <w:b/>
          <w:bCs/>
          <w:sz w:val="24"/>
          <w:szCs w:val="24"/>
          <w:lang w:val="en-GB"/>
        </w:rPr>
      </w:pPr>
      <w:r w:rsidRPr="001B6D13">
        <w:rPr>
          <w:rFonts w:ascii="Times New Roman" w:hAnsi="Times New Roman" w:cs="Times New Roman"/>
          <w:b/>
          <w:bCs/>
          <w:sz w:val="24"/>
          <w:szCs w:val="24"/>
          <w:lang w:val="en-GB"/>
        </w:rPr>
        <w:t>Historical Development of Growth-oriented Economics</w:t>
      </w:r>
    </w:p>
    <w:p w14:paraId="73055D9D" w14:textId="77777777" w:rsidR="00DC1C5B" w:rsidRPr="001B6D13" w:rsidRDefault="00DC1C5B" w:rsidP="001B6D13">
      <w:pPr>
        <w:jc w:val="both"/>
        <w:rPr>
          <w:rFonts w:ascii="Times New Roman" w:hAnsi="Times New Roman" w:cs="Times New Roman"/>
          <w:sz w:val="24"/>
          <w:szCs w:val="24"/>
          <w:lang w:val="en-GB"/>
        </w:rPr>
      </w:pPr>
      <w:r w:rsidRPr="001B6D13">
        <w:rPr>
          <w:rFonts w:ascii="Times New Roman" w:hAnsi="Times New Roman" w:cs="Times New Roman"/>
          <w:sz w:val="24"/>
          <w:szCs w:val="24"/>
          <w:lang w:val="en-GB"/>
        </w:rPr>
        <w:t>The idea of relating economic growth to the development of society is a product of the 18th- and 19th-century intellectual and industrial revolutions. Classic economists like Adam Smith and John Stuart Mill believed that economic growth would raise standards of living by increasing the levels of material comfort and stimulating technological development to raise the general welfare of humanity. Adam Smith’s The Wealth of Nations (1776) laid the foundation for market economies, suggesting that self-interest and competition, when left to their own devices, could lead to greater productivity and societal wealth (Smith, 1994). Smith’s invisible hand metaphor emphasized the role of free markets in organizing society efficiently without the need for heavy-handed government intervention. While this classically grand vision of economic growth as a driver for development was developed, particularly by neoclassical thinkers, Alfred Marshall's contribution gave Smith's ideas an even more articulated shape by codifying how supply, demand, and equilibrium function within market interaction. This was laid out in his seminal work, Principles of Economics, 1890. The work of Marshall particularly heightened emphasis on long-term possibilities of technology and capital accumulation leading to economic growth. These ideas, over time, set and became institutionalized within the academic discourse and policymaking, especially with the post-World War II period when growth was at one point synonymous with national success.</w:t>
      </w:r>
    </w:p>
    <w:p w14:paraId="0BED9E5B" w14:textId="09E977E4" w:rsidR="00DC1C5B" w:rsidRDefault="00DC1C5B" w:rsidP="001B6D13">
      <w:pPr>
        <w:jc w:val="both"/>
        <w:rPr>
          <w:rFonts w:ascii="Times New Roman" w:hAnsi="Times New Roman" w:cs="Times New Roman"/>
          <w:sz w:val="24"/>
          <w:szCs w:val="24"/>
          <w:lang w:val="en-GB"/>
        </w:rPr>
      </w:pPr>
      <w:r w:rsidRPr="001B6D13">
        <w:rPr>
          <w:rFonts w:ascii="Times New Roman" w:hAnsi="Times New Roman" w:cs="Times New Roman"/>
          <w:sz w:val="24"/>
          <w:szCs w:val="24"/>
          <w:lang w:val="en-GB"/>
        </w:rPr>
        <w:lastRenderedPageBreak/>
        <w:t>The period after the War witnessed an unparalleled world economic boom, since there was unprecedented technological advancement along with unprecedented pace of industrial activities. This era also saw the rise of economic models that further cemented the idea of infinite growth, such as Robert Solow’s neoclassical growth theory (Solow, 1956). Solow’s model emphasized the role of technological progress in driving economic growth, suggesting that economies could continue to expand even as capital accumulation diminished. Importantly, in its fixation with aggregate economic indicators of success-such as Gross Domestic Product (GDP)-it almost utterly ignored the ecological costs of growth.</w:t>
      </w:r>
    </w:p>
    <w:p w14:paraId="7CCEC06F" w14:textId="22B95F28" w:rsidR="00CE10A1" w:rsidRPr="001B6D13" w:rsidRDefault="00CE10A1" w:rsidP="001B6D13">
      <w:pPr>
        <w:jc w:val="both"/>
        <w:rPr>
          <w:rFonts w:ascii="Times New Roman" w:hAnsi="Times New Roman" w:cs="Times New Roman"/>
          <w:sz w:val="24"/>
          <w:szCs w:val="24"/>
          <w:lang w:val="en-GB"/>
        </w:rPr>
      </w:pPr>
      <w:r w:rsidRPr="00CE10A1">
        <w:rPr>
          <w:rFonts w:ascii="Times New Roman" w:hAnsi="Times New Roman" w:cs="Times New Roman"/>
          <w:sz w:val="24"/>
          <w:szCs w:val="24"/>
          <w:lang w:val="en-GB"/>
        </w:rPr>
        <w:t>This paper discusses some of the philosophical and pragmatic implications of infinite economic growth within the Anthropocene. The paper tries to trace some historical preconditions of growth-based economics in service of an attempt at better understanding assumptions behind contemporary thought on economics. This article reflects on the ecological and social impacts engendered by the growth paradigm by considering the inclusions of insights from ecological economics, environmental philosophy, and political ecology.</w:t>
      </w:r>
    </w:p>
    <w:p w14:paraId="35E0BD0F" w14:textId="77777777" w:rsidR="00DC1C5B" w:rsidRPr="001B6D13" w:rsidRDefault="00DC1C5B" w:rsidP="001B6D13">
      <w:pPr>
        <w:jc w:val="both"/>
        <w:rPr>
          <w:rFonts w:ascii="Times New Roman" w:hAnsi="Times New Roman" w:cs="Times New Roman"/>
          <w:sz w:val="24"/>
          <w:szCs w:val="24"/>
          <w:lang w:val="en-GB"/>
        </w:rPr>
      </w:pPr>
    </w:p>
    <w:p w14:paraId="0B44850A" w14:textId="77777777" w:rsidR="001B6D13" w:rsidRPr="001B6D13" w:rsidRDefault="00DC1C5B" w:rsidP="001B6D13">
      <w:pPr>
        <w:jc w:val="both"/>
        <w:rPr>
          <w:rFonts w:ascii="Times New Roman" w:hAnsi="Times New Roman" w:cs="Times New Roman"/>
          <w:b/>
          <w:bCs/>
          <w:sz w:val="24"/>
          <w:szCs w:val="24"/>
          <w:lang w:val="en-GB"/>
        </w:rPr>
      </w:pPr>
      <w:r w:rsidRPr="001B6D13">
        <w:rPr>
          <w:rFonts w:ascii="Times New Roman" w:hAnsi="Times New Roman" w:cs="Times New Roman"/>
          <w:b/>
          <w:bCs/>
          <w:sz w:val="24"/>
          <w:szCs w:val="24"/>
          <w:lang w:val="en-GB"/>
        </w:rPr>
        <w:t xml:space="preserve">1.3 The Anthropocene- the Challenge to Growth-oriented Economics </w:t>
      </w:r>
    </w:p>
    <w:p w14:paraId="09C1C48A" w14:textId="50774951" w:rsidR="00DC1C5B" w:rsidRPr="001B6D13" w:rsidRDefault="00DC1C5B" w:rsidP="001B6D13">
      <w:pPr>
        <w:jc w:val="both"/>
        <w:rPr>
          <w:rFonts w:ascii="Times New Roman" w:hAnsi="Times New Roman" w:cs="Times New Roman"/>
          <w:sz w:val="24"/>
          <w:szCs w:val="24"/>
          <w:lang w:val="en-GB"/>
        </w:rPr>
      </w:pPr>
      <w:r w:rsidRPr="001B6D13">
        <w:rPr>
          <w:rFonts w:ascii="Times New Roman" w:hAnsi="Times New Roman" w:cs="Times New Roman"/>
          <w:sz w:val="24"/>
          <w:szCs w:val="24"/>
          <w:lang w:val="en-GB"/>
        </w:rPr>
        <w:t>As humanity entered the 21st century, the environmental and social consequences of unchecked growth became more apparent. The Anthropocene, with its stark ecological realities, has posed a fundamental challenge to the philosophical underpinnings of growth-oriented economics. The relentless pursuit of GDP growth has resulted in significant environmental degradation, including rising carbon emissions, depletion of natural resources, and loss of biodiversity (Steffen et al., 2011).</w:t>
      </w:r>
    </w:p>
    <w:p w14:paraId="699D9EAC" w14:textId="77777777" w:rsidR="00DC1C5B" w:rsidRPr="001B6D13" w:rsidRDefault="00DC1C5B" w:rsidP="001B6D13">
      <w:pPr>
        <w:jc w:val="both"/>
        <w:rPr>
          <w:rFonts w:ascii="Times New Roman" w:hAnsi="Times New Roman" w:cs="Times New Roman"/>
          <w:sz w:val="24"/>
          <w:szCs w:val="24"/>
          <w:lang w:val="en-GB"/>
        </w:rPr>
      </w:pPr>
      <w:r w:rsidRPr="001B6D13">
        <w:rPr>
          <w:rFonts w:ascii="Times New Roman" w:hAnsi="Times New Roman" w:cs="Times New Roman"/>
          <w:sz w:val="24"/>
          <w:szCs w:val="24"/>
          <w:lang w:val="en-GB"/>
        </w:rPr>
        <w:t>These impacts also bring into question the relevance of traditional economic models that emphasize growth as a key ideal.</w:t>
      </w:r>
    </w:p>
    <w:p w14:paraId="64AF3D20" w14:textId="77777777" w:rsidR="00DC1C5B" w:rsidRPr="001B6D13" w:rsidRDefault="00DC1C5B" w:rsidP="001B6D13">
      <w:pPr>
        <w:jc w:val="both"/>
        <w:rPr>
          <w:rFonts w:ascii="Times New Roman" w:hAnsi="Times New Roman" w:cs="Times New Roman"/>
          <w:sz w:val="24"/>
          <w:szCs w:val="24"/>
          <w:lang w:val="en-GB"/>
        </w:rPr>
      </w:pPr>
      <w:r w:rsidRPr="001B6D13">
        <w:rPr>
          <w:rFonts w:ascii="Times New Roman" w:hAnsi="Times New Roman" w:cs="Times New Roman"/>
          <w:sz w:val="24"/>
          <w:szCs w:val="24"/>
          <w:lang w:val="en-GB"/>
        </w:rPr>
        <w:t xml:space="preserve">Several of the studies are now focused on the intrinsic contradictions of the growth paradigm in relation to ecological sustainability. Examples include the Planetary Boundaries, as defined by Johan </w:t>
      </w:r>
      <w:proofErr w:type="spellStart"/>
      <w:r w:rsidRPr="001B6D13">
        <w:rPr>
          <w:rFonts w:ascii="Times New Roman" w:hAnsi="Times New Roman" w:cs="Times New Roman"/>
          <w:sz w:val="24"/>
          <w:szCs w:val="24"/>
          <w:lang w:val="en-GB"/>
        </w:rPr>
        <w:t>Rockström</w:t>
      </w:r>
      <w:proofErr w:type="spellEnd"/>
      <w:r w:rsidRPr="001B6D13">
        <w:rPr>
          <w:rFonts w:ascii="Times New Roman" w:hAnsi="Times New Roman" w:cs="Times New Roman"/>
          <w:sz w:val="24"/>
          <w:szCs w:val="24"/>
          <w:lang w:val="en-GB"/>
        </w:rPr>
        <w:t xml:space="preserve"> in 2009: a set of nine critical levels of environmental degradation beyond which irreversible damage to Earth's ecosystems may occur. These boundaries include climate change, ocean acidification, freshwater use, and biodiversity loss, all of which are being pushed to dangerous levels due to economic expansion. The idea of infinite growth within a finite system is, therefore, a fundamental fallacy that cannot be reconciled with the physical limits of the planet (</w:t>
      </w:r>
      <w:proofErr w:type="spellStart"/>
      <w:r w:rsidRPr="001B6D13">
        <w:rPr>
          <w:rFonts w:ascii="Times New Roman" w:hAnsi="Times New Roman" w:cs="Times New Roman"/>
          <w:sz w:val="24"/>
          <w:szCs w:val="24"/>
          <w:lang w:val="en-GB"/>
        </w:rPr>
        <w:t>Rockström</w:t>
      </w:r>
      <w:proofErr w:type="spellEnd"/>
      <w:r w:rsidRPr="001B6D13">
        <w:rPr>
          <w:rFonts w:ascii="Times New Roman" w:hAnsi="Times New Roman" w:cs="Times New Roman"/>
          <w:sz w:val="24"/>
          <w:szCs w:val="24"/>
          <w:lang w:val="en-GB"/>
        </w:rPr>
        <w:t xml:space="preserve"> et al., 2009). Besides, the Anthropocene unravels the ethical aspects of the economic growth impact on social justice and inequality. Most growth-based economic models are biased towards the accumulation of wealth in the developed countries, but mostly at the cost of the developing countries or the marginalised society. It is to be seen that such a </w:t>
      </w:r>
      <w:r w:rsidRPr="001B6D13">
        <w:rPr>
          <w:rFonts w:ascii="Times New Roman" w:hAnsi="Times New Roman" w:cs="Times New Roman"/>
          <w:sz w:val="24"/>
          <w:szCs w:val="24"/>
          <w:lang w:val="en-GB"/>
        </w:rPr>
        <w:lastRenderedPageBreak/>
        <w:t>degradation caused by the industry is felt so much more in the Global South, while poor nations carry the ecological brunt of global economic expansion. Martinez-Alier 2002. This has engendered uneven distribution of wealth, health, and access to resources, which have generated moral concerns about the rightness and sustainability of the growth paradigm.</w:t>
      </w:r>
    </w:p>
    <w:p w14:paraId="31C8F02F" w14:textId="77777777" w:rsidR="00DC1C5B" w:rsidRPr="001B6D13" w:rsidRDefault="00DC1C5B" w:rsidP="001B6D13">
      <w:pPr>
        <w:jc w:val="both"/>
        <w:rPr>
          <w:rFonts w:ascii="Times New Roman" w:hAnsi="Times New Roman" w:cs="Times New Roman"/>
          <w:sz w:val="24"/>
          <w:szCs w:val="24"/>
          <w:lang w:val="en-GB"/>
        </w:rPr>
      </w:pPr>
    </w:p>
    <w:p w14:paraId="158CB5D1" w14:textId="2A2D5AE5" w:rsidR="000040A5" w:rsidRPr="001B6D13" w:rsidRDefault="000040A5" w:rsidP="001B6D13">
      <w:pPr>
        <w:jc w:val="both"/>
        <w:rPr>
          <w:rFonts w:ascii="Times New Roman" w:hAnsi="Times New Roman" w:cs="Times New Roman"/>
          <w:sz w:val="24"/>
          <w:szCs w:val="24"/>
          <w:lang w:val="en-GB"/>
        </w:rPr>
      </w:pPr>
    </w:p>
    <w:p w14:paraId="222F21F5" w14:textId="5FBA9D97" w:rsidR="001B6D13" w:rsidRPr="001B6D13" w:rsidRDefault="00D31E48" w:rsidP="001B6D13">
      <w:pPr>
        <w:pStyle w:val="ListParagraph"/>
        <w:numPr>
          <w:ilvl w:val="0"/>
          <w:numId w:val="1"/>
        </w:numPr>
        <w:jc w:val="both"/>
        <w:rPr>
          <w:rFonts w:ascii="Times New Roman" w:hAnsi="Times New Roman" w:cs="Times New Roman"/>
          <w:b/>
          <w:bCs/>
          <w:sz w:val="28"/>
          <w:szCs w:val="28"/>
          <w:lang w:val="en-GB"/>
        </w:rPr>
      </w:pPr>
      <w:r w:rsidRPr="001B6D13">
        <w:rPr>
          <w:rFonts w:ascii="Times New Roman" w:hAnsi="Times New Roman" w:cs="Times New Roman"/>
          <w:b/>
          <w:bCs/>
          <w:sz w:val="28"/>
          <w:szCs w:val="28"/>
          <w:lang w:val="en-GB"/>
        </w:rPr>
        <w:t>Theoretical underpinning of infinite growth</w:t>
      </w:r>
    </w:p>
    <w:p w14:paraId="1645F8B8" w14:textId="5B8C8437" w:rsidR="00D31E48" w:rsidRPr="001B6D13" w:rsidRDefault="00D31E48" w:rsidP="001B6D13">
      <w:pPr>
        <w:pStyle w:val="ListParagraph"/>
        <w:numPr>
          <w:ilvl w:val="1"/>
          <w:numId w:val="1"/>
        </w:numPr>
        <w:jc w:val="both"/>
        <w:rPr>
          <w:rFonts w:ascii="Times New Roman" w:hAnsi="Times New Roman" w:cs="Times New Roman"/>
          <w:b/>
          <w:bCs/>
          <w:sz w:val="24"/>
          <w:szCs w:val="24"/>
          <w:lang w:val="en-GB"/>
        </w:rPr>
      </w:pPr>
      <w:r w:rsidRPr="001B6D13">
        <w:rPr>
          <w:rFonts w:ascii="Times New Roman" w:hAnsi="Times New Roman" w:cs="Times New Roman"/>
          <w:b/>
          <w:bCs/>
          <w:sz w:val="24"/>
          <w:szCs w:val="24"/>
          <w:lang w:val="en-GB"/>
        </w:rPr>
        <w:t>The origins of the growth paradigm</w:t>
      </w:r>
    </w:p>
    <w:p w14:paraId="15635D93" w14:textId="0E683765" w:rsidR="00D31E48" w:rsidRPr="001B6D13" w:rsidRDefault="00D31E48" w:rsidP="001B6D13">
      <w:pPr>
        <w:jc w:val="both"/>
        <w:rPr>
          <w:rFonts w:ascii="Times New Roman" w:hAnsi="Times New Roman" w:cs="Times New Roman"/>
          <w:sz w:val="24"/>
          <w:szCs w:val="24"/>
          <w:lang w:val="en-GB"/>
        </w:rPr>
      </w:pPr>
      <w:r w:rsidRPr="001B6D13">
        <w:rPr>
          <w:rFonts w:ascii="Times New Roman" w:hAnsi="Times New Roman" w:cs="Times New Roman"/>
          <w:sz w:val="24"/>
          <w:szCs w:val="24"/>
          <w:lang w:val="en-GB"/>
        </w:rPr>
        <w:t xml:space="preserve">That economic growth is positive and </w:t>
      </w:r>
      <w:r w:rsidR="00CE10A1" w:rsidRPr="001B6D13">
        <w:rPr>
          <w:rFonts w:ascii="Times New Roman" w:hAnsi="Times New Roman" w:cs="Times New Roman"/>
          <w:sz w:val="24"/>
          <w:szCs w:val="24"/>
          <w:lang w:val="en-GB"/>
        </w:rPr>
        <w:t>necessarily</w:t>
      </w:r>
      <w:r w:rsidRPr="001B6D13">
        <w:rPr>
          <w:rFonts w:ascii="Times New Roman" w:hAnsi="Times New Roman" w:cs="Times New Roman"/>
          <w:sz w:val="24"/>
          <w:szCs w:val="24"/>
          <w:lang w:val="en-GB"/>
        </w:rPr>
        <w:t xml:space="preserve"> has, therefore, been thought to be grounded within classical economics, and especially through the works of enlightenment thinkers like Adam Smith and John Stuart Mill. In The Wealth of Nations, Smith </w:t>
      </w:r>
      <w:r w:rsidR="00CE10A1" w:rsidRPr="001B6D13">
        <w:rPr>
          <w:rFonts w:ascii="Times New Roman" w:hAnsi="Times New Roman" w:cs="Times New Roman"/>
          <w:sz w:val="24"/>
          <w:szCs w:val="24"/>
          <w:lang w:val="en-GB"/>
        </w:rPr>
        <w:t>(1776)</w:t>
      </w:r>
      <w:r w:rsidR="00CE10A1">
        <w:rPr>
          <w:rFonts w:ascii="Times New Roman" w:hAnsi="Times New Roman" w:cs="Times New Roman"/>
          <w:sz w:val="24"/>
          <w:szCs w:val="24"/>
          <w:lang w:val="en-GB"/>
        </w:rPr>
        <w:t xml:space="preserve"> </w:t>
      </w:r>
      <w:r w:rsidRPr="001B6D13">
        <w:rPr>
          <w:rFonts w:ascii="Times New Roman" w:hAnsi="Times New Roman" w:cs="Times New Roman"/>
          <w:sz w:val="24"/>
          <w:szCs w:val="24"/>
          <w:lang w:val="en-GB"/>
        </w:rPr>
        <w:t xml:space="preserve">developed a vision of economic growth determined through the division of </w:t>
      </w:r>
      <w:r w:rsidR="00CE10A1" w:rsidRPr="001B6D13">
        <w:rPr>
          <w:rFonts w:ascii="Times New Roman" w:hAnsi="Times New Roman" w:cs="Times New Roman"/>
          <w:sz w:val="24"/>
          <w:szCs w:val="24"/>
          <w:lang w:val="en-GB"/>
        </w:rPr>
        <w:t>labour</w:t>
      </w:r>
      <w:r w:rsidRPr="001B6D13">
        <w:rPr>
          <w:rFonts w:ascii="Times New Roman" w:hAnsi="Times New Roman" w:cs="Times New Roman"/>
          <w:sz w:val="24"/>
          <w:szCs w:val="24"/>
          <w:lang w:val="en-GB"/>
        </w:rPr>
        <w:t xml:space="preserve">, specialized production, and market competition. He believed that the self-interest and the pursuit of profit in the competitive markets were ways through which resources could put to best use to society at large </w:t>
      </w:r>
      <w:r w:rsidR="00CE10A1">
        <w:rPr>
          <w:rFonts w:ascii="Times New Roman" w:hAnsi="Times New Roman" w:cs="Times New Roman"/>
          <w:sz w:val="24"/>
          <w:szCs w:val="24"/>
          <w:lang w:val="en-GB"/>
        </w:rPr>
        <w:t>(</w:t>
      </w:r>
      <w:r w:rsidRPr="001B6D13">
        <w:rPr>
          <w:rFonts w:ascii="Times New Roman" w:hAnsi="Times New Roman" w:cs="Times New Roman"/>
          <w:sz w:val="24"/>
          <w:szCs w:val="24"/>
          <w:lang w:val="en-GB"/>
        </w:rPr>
        <w:t>Smith, 1994</w:t>
      </w:r>
      <w:r w:rsidR="00CE10A1">
        <w:rPr>
          <w:rFonts w:ascii="Times New Roman" w:hAnsi="Times New Roman" w:cs="Times New Roman"/>
          <w:sz w:val="24"/>
          <w:szCs w:val="24"/>
          <w:lang w:val="en-GB"/>
        </w:rPr>
        <w:t>)</w:t>
      </w:r>
      <w:r w:rsidRPr="001B6D13">
        <w:rPr>
          <w:rFonts w:ascii="Times New Roman" w:hAnsi="Times New Roman" w:cs="Times New Roman"/>
          <w:sz w:val="24"/>
          <w:szCs w:val="24"/>
          <w:lang w:val="en-GB"/>
        </w:rPr>
        <w:t>. So, the optimism of Smith about human progress constituted the launching pad upon which one intellectual building, or growth paradigm, has been constructed for centuries.</w:t>
      </w:r>
    </w:p>
    <w:p w14:paraId="08F45CB6" w14:textId="2391F3C5" w:rsidR="00D31E48" w:rsidRPr="001B6D13" w:rsidRDefault="00D31E48" w:rsidP="001B6D13">
      <w:pPr>
        <w:jc w:val="both"/>
        <w:rPr>
          <w:rFonts w:ascii="Times New Roman" w:hAnsi="Times New Roman" w:cs="Times New Roman"/>
          <w:sz w:val="24"/>
          <w:szCs w:val="24"/>
          <w:lang w:val="en-GB"/>
        </w:rPr>
      </w:pPr>
      <w:r w:rsidRPr="001B6D13">
        <w:rPr>
          <w:rFonts w:ascii="Times New Roman" w:hAnsi="Times New Roman" w:cs="Times New Roman"/>
          <w:sz w:val="24"/>
          <w:szCs w:val="24"/>
          <w:lang w:val="en-GB"/>
        </w:rPr>
        <w:t xml:space="preserve">John Stuart Mill, </w:t>
      </w:r>
      <w:r w:rsidR="001B6D13">
        <w:rPr>
          <w:rFonts w:ascii="Times New Roman" w:hAnsi="Times New Roman" w:cs="Times New Roman"/>
          <w:sz w:val="24"/>
          <w:szCs w:val="24"/>
          <w:lang w:val="en-GB"/>
        </w:rPr>
        <w:t xml:space="preserve">in </w:t>
      </w:r>
      <w:r w:rsidRPr="001B6D13">
        <w:rPr>
          <w:rFonts w:ascii="Times New Roman" w:hAnsi="Times New Roman" w:cs="Times New Roman"/>
          <w:sz w:val="24"/>
          <w:szCs w:val="24"/>
          <w:lang w:val="en-GB"/>
        </w:rPr>
        <w:t xml:space="preserve">Principles of Political Economy </w:t>
      </w:r>
      <w:r w:rsidR="001B6D13">
        <w:rPr>
          <w:rFonts w:ascii="Times New Roman" w:hAnsi="Times New Roman" w:cs="Times New Roman"/>
          <w:sz w:val="24"/>
          <w:szCs w:val="24"/>
          <w:lang w:val="en-GB"/>
        </w:rPr>
        <w:t>(</w:t>
      </w:r>
      <w:r w:rsidRPr="001B6D13">
        <w:rPr>
          <w:rFonts w:ascii="Times New Roman" w:hAnsi="Times New Roman" w:cs="Times New Roman"/>
          <w:sz w:val="24"/>
          <w:szCs w:val="24"/>
          <w:lang w:val="en-GB"/>
        </w:rPr>
        <w:t>1848</w:t>
      </w:r>
      <w:r w:rsidR="001B6D13">
        <w:rPr>
          <w:rFonts w:ascii="Times New Roman" w:hAnsi="Times New Roman" w:cs="Times New Roman"/>
          <w:sz w:val="24"/>
          <w:szCs w:val="24"/>
          <w:lang w:val="en-GB"/>
        </w:rPr>
        <w:t>)</w:t>
      </w:r>
      <w:r w:rsidRPr="001B6D13">
        <w:rPr>
          <w:rFonts w:ascii="Times New Roman" w:hAnsi="Times New Roman" w:cs="Times New Roman"/>
          <w:sz w:val="24"/>
          <w:szCs w:val="24"/>
          <w:lang w:val="en-GB"/>
        </w:rPr>
        <w:t xml:space="preserve"> also </w:t>
      </w:r>
      <w:r w:rsidR="001B6D13" w:rsidRPr="001B6D13">
        <w:rPr>
          <w:rFonts w:ascii="Times New Roman" w:hAnsi="Times New Roman" w:cs="Times New Roman"/>
          <w:sz w:val="24"/>
          <w:szCs w:val="24"/>
          <w:lang w:val="en-GB"/>
        </w:rPr>
        <w:t>favoured</w:t>
      </w:r>
      <w:r w:rsidRPr="001B6D13">
        <w:rPr>
          <w:rFonts w:ascii="Times New Roman" w:hAnsi="Times New Roman" w:cs="Times New Roman"/>
          <w:sz w:val="24"/>
          <w:szCs w:val="24"/>
          <w:lang w:val="en-GB"/>
        </w:rPr>
        <w:t xml:space="preserve"> growth but with significant qualifiers. Mill did see a limit to growth-a point beyond which the process could not go on because of ecological and social inhibitors. He argued that once the basic wants had been satisfied, human development should focus on values higher than material accumulation and should focus on creativity, leisure, and community </w:t>
      </w:r>
      <w:r w:rsidR="00CE10A1">
        <w:rPr>
          <w:rFonts w:ascii="Times New Roman" w:hAnsi="Times New Roman" w:cs="Times New Roman"/>
          <w:sz w:val="24"/>
          <w:szCs w:val="24"/>
          <w:lang w:val="en-GB"/>
        </w:rPr>
        <w:t>(</w:t>
      </w:r>
      <w:r w:rsidRPr="001B6D13">
        <w:rPr>
          <w:rFonts w:ascii="Times New Roman" w:hAnsi="Times New Roman" w:cs="Times New Roman"/>
          <w:sz w:val="24"/>
          <w:szCs w:val="24"/>
          <w:lang w:val="en-GB"/>
        </w:rPr>
        <w:t>Mill 1848). Mill's vision was to foreshadow some of the modern critiques likely to come in the wake of the unquestioning pursuit of growth; his warnings fell on deaf ears among later economists.</w:t>
      </w:r>
      <w:r w:rsidR="00CE10A1">
        <w:rPr>
          <w:rFonts w:ascii="Times New Roman" w:hAnsi="Times New Roman" w:cs="Times New Roman"/>
          <w:sz w:val="24"/>
          <w:szCs w:val="24"/>
          <w:lang w:val="en-GB"/>
        </w:rPr>
        <w:t xml:space="preserve"> </w:t>
      </w:r>
      <w:r w:rsidR="00CE10A1">
        <w:rPr>
          <w:rFonts w:ascii="Times New Roman" w:hAnsi="Times New Roman" w:cs="Times New Roman"/>
          <w:sz w:val="24"/>
          <w:szCs w:val="24"/>
          <w:lang w:val="en-GB"/>
        </w:rPr>
        <w:br/>
      </w:r>
      <w:r w:rsidRPr="001B6D13">
        <w:rPr>
          <w:rFonts w:ascii="Times New Roman" w:hAnsi="Times New Roman" w:cs="Times New Roman"/>
          <w:sz w:val="24"/>
          <w:szCs w:val="24"/>
          <w:lang w:val="en-GB"/>
        </w:rPr>
        <w:t>The Industrial Revolution of the 18th and 19th centuries further entrenched the growth paradigm. Unprecedented in history, technological advance and higher productivity emerged with an explosion of economic growth; hence, growth equated to progress.</w:t>
      </w:r>
      <w:r w:rsidR="00CE10A1">
        <w:rPr>
          <w:rFonts w:ascii="Times New Roman" w:hAnsi="Times New Roman" w:cs="Times New Roman"/>
          <w:sz w:val="24"/>
          <w:szCs w:val="24"/>
          <w:lang w:val="en-GB"/>
        </w:rPr>
        <w:t xml:space="preserve"> </w:t>
      </w:r>
      <w:r w:rsidRPr="001B6D13">
        <w:rPr>
          <w:rFonts w:ascii="Times New Roman" w:hAnsi="Times New Roman" w:cs="Times New Roman"/>
          <w:sz w:val="24"/>
          <w:szCs w:val="24"/>
          <w:lang w:val="en-GB"/>
        </w:rPr>
        <w:t>The rise of capitalism and the expansion of global markets transformed economic growth from an ideal into a tangible reality. This period of rapid industrialization reinforced the belief that continued growth could solve societal problems, such as poverty and inequality, and bring about widespread prosperity (Polanyi, 1944).</w:t>
      </w:r>
    </w:p>
    <w:p w14:paraId="219576E7" w14:textId="77777777" w:rsidR="00D31E48" w:rsidRPr="001B6D13" w:rsidRDefault="00D31E48" w:rsidP="001B6D13">
      <w:pPr>
        <w:jc w:val="both"/>
        <w:rPr>
          <w:rFonts w:ascii="Times New Roman" w:hAnsi="Times New Roman" w:cs="Times New Roman"/>
          <w:sz w:val="24"/>
          <w:szCs w:val="24"/>
          <w:lang w:val="en-GB"/>
        </w:rPr>
      </w:pPr>
    </w:p>
    <w:p w14:paraId="7DFF4C03" w14:textId="260C8646" w:rsidR="00D31E48" w:rsidRPr="001B6D13" w:rsidRDefault="00D31E48" w:rsidP="001B6D13">
      <w:pPr>
        <w:pStyle w:val="ListParagraph"/>
        <w:numPr>
          <w:ilvl w:val="1"/>
          <w:numId w:val="1"/>
        </w:numPr>
        <w:jc w:val="both"/>
        <w:rPr>
          <w:rFonts w:ascii="Times New Roman" w:hAnsi="Times New Roman" w:cs="Times New Roman"/>
          <w:b/>
          <w:bCs/>
          <w:sz w:val="24"/>
          <w:szCs w:val="24"/>
          <w:lang w:val="en-GB"/>
        </w:rPr>
      </w:pPr>
      <w:r w:rsidRPr="001B6D13">
        <w:rPr>
          <w:rFonts w:ascii="Times New Roman" w:hAnsi="Times New Roman" w:cs="Times New Roman"/>
          <w:b/>
          <w:bCs/>
          <w:sz w:val="24"/>
          <w:szCs w:val="24"/>
          <w:lang w:val="en-GB"/>
        </w:rPr>
        <w:t>Neoclassical Economics and the Growth Imperative</w:t>
      </w:r>
    </w:p>
    <w:p w14:paraId="24DD021D" w14:textId="706DEA21" w:rsidR="00D31E48" w:rsidRPr="001B6D13" w:rsidRDefault="00D31E48" w:rsidP="001B6D13">
      <w:pPr>
        <w:jc w:val="both"/>
        <w:rPr>
          <w:rFonts w:ascii="Times New Roman" w:hAnsi="Times New Roman" w:cs="Times New Roman"/>
          <w:sz w:val="24"/>
          <w:szCs w:val="24"/>
          <w:lang w:val="en-GB"/>
        </w:rPr>
      </w:pPr>
      <w:r w:rsidRPr="001B6D13">
        <w:rPr>
          <w:rFonts w:ascii="Times New Roman" w:hAnsi="Times New Roman" w:cs="Times New Roman"/>
          <w:sz w:val="24"/>
          <w:szCs w:val="24"/>
          <w:lang w:val="en-GB"/>
        </w:rPr>
        <w:t xml:space="preserve">Neoclassical economics provided the intellectual scaffolding for the modern growth paradigm and emerged in the late 19th century. Influential economists such as Alfred </w:t>
      </w:r>
      <w:r w:rsidRPr="001B6D13">
        <w:rPr>
          <w:rFonts w:ascii="Times New Roman" w:hAnsi="Times New Roman" w:cs="Times New Roman"/>
          <w:sz w:val="24"/>
          <w:szCs w:val="24"/>
          <w:lang w:val="en-GB"/>
        </w:rPr>
        <w:lastRenderedPageBreak/>
        <w:t xml:space="preserve">Marshall and Léon Walras developed refinements of the classical economic theory by use of mathematical models as a means for describing market </w:t>
      </w:r>
      <w:r w:rsidR="00CE10A1" w:rsidRPr="001B6D13">
        <w:rPr>
          <w:rFonts w:ascii="Times New Roman" w:hAnsi="Times New Roman" w:cs="Times New Roman"/>
          <w:sz w:val="24"/>
          <w:szCs w:val="24"/>
          <w:lang w:val="en-GB"/>
        </w:rPr>
        <w:t>behaviour</w:t>
      </w:r>
      <w:r w:rsidRPr="001B6D13">
        <w:rPr>
          <w:rFonts w:ascii="Times New Roman" w:hAnsi="Times New Roman" w:cs="Times New Roman"/>
          <w:sz w:val="24"/>
          <w:szCs w:val="24"/>
          <w:lang w:val="en-GB"/>
        </w:rPr>
        <w:t xml:space="preserve">. Neoclassical economics is characterized by the supposition that individuals behave rationally in ways that serve their utility maximization and that free markets, when left to their own devices, generate efficient results </w:t>
      </w:r>
      <w:r w:rsidR="00CE10A1">
        <w:rPr>
          <w:rFonts w:ascii="Times New Roman" w:hAnsi="Times New Roman" w:cs="Times New Roman"/>
          <w:sz w:val="24"/>
          <w:szCs w:val="24"/>
          <w:lang w:val="en-GB"/>
        </w:rPr>
        <w:t>(</w:t>
      </w:r>
      <w:r w:rsidRPr="001B6D13">
        <w:rPr>
          <w:rFonts w:ascii="Times New Roman" w:hAnsi="Times New Roman" w:cs="Times New Roman"/>
          <w:sz w:val="24"/>
          <w:szCs w:val="24"/>
          <w:lang w:val="en-GB"/>
        </w:rPr>
        <w:t>Marshall</w:t>
      </w:r>
      <w:r w:rsidR="00CE10A1">
        <w:rPr>
          <w:rFonts w:ascii="Times New Roman" w:hAnsi="Times New Roman" w:cs="Times New Roman"/>
          <w:sz w:val="24"/>
          <w:szCs w:val="24"/>
          <w:lang w:val="en-GB"/>
        </w:rPr>
        <w:t>,</w:t>
      </w:r>
      <w:r w:rsidRPr="001B6D13">
        <w:rPr>
          <w:rFonts w:ascii="Times New Roman" w:hAnsi="Times New Roman" w:cs="Times New Roman"/>
          <w:sz w:val="24"/>
          <w:szCs w:val="24"/>
          <w:lang w:val="en-GB"/>
        </w:rPr>
        <w:t xml:space="preserve"> 1890</w:t>
      </w:r>
      <w:r w:rsidR="00CE10A1">
        <w:rPr>
          <w:rFonts w:ascii="Times New Roman" w:hAnsi="Times New Roman" w:cs="Times New Roman"/>
          <w:sz w:val="24"/>
          <w:szCs w:val="24"/>
          <w:lang w:val="en-GB"/>
        </w:rPr>
        <w:t>)</w:t>
      </w:r>
      <w:r w:rsidRPr="001B6D13">
        <w:rPr>
          <w:rFonts w:ascii="Times New Roman" w:hAnsi="Times New Roman" w:cs="Times New Roman"/>
          <w:sz w:val="24"/>
          <w:szCs w:val="24"/>
          <w:lang w:val="en-GB"/>
        </w:rPr>
        <w:t>.</w:t>
      </w:r>
      <w:r w:rsidR="001B6D13">
        <w:rPr>
          <w:rFonts w:ascii="Times New Roman" w:hAnsi="Times New Roman" w:cs="Times New Roman"/>
          <w:sz w:val="24"/>
          <w:szCs w:val="24"/>
          <w:lang w:val="en-GB"/>
        </w:rPr>
        <w:t xml:space="preserve"> </w:t>
      </w:r>
      <w:r w:rsidRPr="001B6D13">
        <w:rPr>
          <w:rFonts w:ascii="Times New Roman" w:hAnsi="Times New Roman" w:cs="Times New Roman"/>
          <w:sz w:val="24"/>
          <w:szCs w:val="24"/>
          <w:lang w:val="en-GB"/>
        </w:rPr>
        <w:t xml:space="preserve">Neoclassicism is based on the principle of equilibrium whereby the forces of demand and supply are equated and settle with prices and output. To them, growth is a product of accumulated capital, technology, and productivity of </w:t>
      </w:r>
      <w:r w:rsidR="00CE10A1" w:rsidRPr="001B6D13">
        <w:rPr>
          <w:rFonts w:ascii="Times New Roman" w:hAnsi="Times New Roman" w:cs="Times New Roman"/>
          <w:sz w:val="24"/>
          <w:szCs w:val="24"/>
          <w:lang w:val="en-GB"/>
        </w:rPr>
        <w:t>labour</w:t>
      </w:r>
      <w:r w:rsidRPr="001B6D13">
        <w:rPr>
          <w:rFonts w:ascii="Times New Roman" w:hAnsi="Times New Roman" w:cs="Times New Roman"/>
          <w:sz w:val="24"/>
          <w:szCs w:val="24"/>
          <w:lang w:val="en-GB"/>
        </w:rPr>
        <w:t xml:space="preserve">. In such a light, Robert Solow further formalized this hypothesis with his neoclassical growth model in 1956 and stated that economic growth emanates from growth in </w:t>
      </w:r>
      <w:r w:rsidR="00CE10A1" w:rsidRPr="001B6D13">
        <w:rPr>
          <w:rFonts w:ascii="Times New Roman" w:hAnsi="Times New Roman" w:cs="Times New Roman"/>
          <w:sz w:val="24"/>
          <w:szCs w:val="24"/>
          <w:lang w:val="en-GB"/>
        </w:rPr>
        <w:t>labour</w:t>
      </w:r>
      <w:r w:rsidRPr="001B6D13">
        <w:rPr>
          <w:rFonts w:ascii="Times New Roman" w:hAnsi="Times New Roman" w:cs="Times New Roman"/>
          <w:sz w:val="24"/>
          <w:szCs w:val="24"/>
          <w:lang w:val="en-GB"/>
        </w:rPr>
        <w:t>, capital, and technology. Solow then went on to add that technological change was especially important to attain long-run growth, as the other two inputs have diminishing returns that would inhibit expansion.</w:t>
      </w:r>
    </w:p>
    <w:p w14:paraId="4DA6D7C5" w14:textId="7538FFA1" w:rsidR="00D31E48" w:rsidRPr="001B6D13" w:rsidRDefault="00D31E48" w:rsidP="001B6D13">
      <w:pPr>
        <w:jc w:val="both"/>
        <w:rPr>
          <w:rFonts w:ascii="Times New Roman" w:hAnsi="Times New Roman" w:cs="Times New Roman"/>
          <w:sz w:val="24"/>
          <w:szCs w:val="24"/>
          <w:lang w:val="en-GB"/>
        </w:rPr>
      </w:pPr>
      <w:r w:rsidRPr="001B6D13">
        <w:rPr>
          <w:rFonts w:ascii="Times New Roman" w:hAnsi="Times New Roman" w:cs="Times New Roman"/>
          <w:sz w:val="24"/>
          <w:szCs w:val="24"/>
          <w:lang w:val="en-GB"/>
        </w:rPr>
        <w:t xml:space="preserve">For his part, Solow's model has equally been criticized for being too narrow since it only concentrated on the factors of production, omitting any environmental constraints. Having recognized that the supply of natural resources is fixed, Solow still expressed his opinion that this limitation would be smoothed out through technological changes in resource use efficiency </w:t>
      </w:r>
      <w:r w:rsidR="00CE10A1">
        <w:rPr>
          <w:rFonts w:ascii="Times New Roman" w:hAnsi="Times New Roman" w:cs="Times New Roman"/>
          <w:sz w:val="24"/>
          <w:szCs w:val="24"/>
          <w:lang w:val="en-GB"/>
        </w:rPr>
        <w:t>(</w:t>
      </w:r>
      <w:r w:rsidRPr="001B6D13">
        <w:rPr>
          <w:rFonts w:ascii="Times New Roman" w:hAnsi="Times New Roman" w:cs="Times New Roman"/>
          <w:sz w:val="24"/>
          <w:szCs w:val="24"/>
          <w:lang w:val="en-GB"/>
        </w:rPr>
        <w:t>Solow</w:t>
      </w:r>
      <w:r w:rsidR="00CE10A1">
        <w:rPr>
          <w:rFonts w:ascii="Times New Roman" w:hAnsi="Times New Roman" w:cs="Times New Roman"/>
          <w:sz w:val="24"/>
          <w:szCs w:val="24"/>
          <w:lang w:val="en-GB"/>
        </w:rPr>
        <w:t>,</w:t>
      </w:r>
      <w:r w:rsidRPr="001B6D13">
        <w:rPr>
          <w:rFonts w:ascii="Times New Roman" w:hAnsi="Times New Roman" w:cs="Times New Roman"/>
          <w:sz w:val="24"/>
          <w:szCs w:val="24"/>
          <w:lang w:val="en-GB"/>
        </w:rPr>
        <w:t xml:space="preserve"> 1956</w:t>
      </w:r>
      <w:r w:rsidR="00CE10A1">
        <w:rPr>
          <w:rFonts w:ascii="Times New Roman" w:hAnsi="Times New Roman" w:cs="Times New Roman"/>
          <w:sz w:val="24"/>
          <w:szCs w:val="24"/>
          <w:lang w:val="en-GB"/>
        </w:rPr>
        <w:t>)</w:t>
      </w:r>
      <w:r w:rsidRPr="001B6D13">
        <w:rPr>
          <w:rFonts w:ascii="Times New Roman" w:hAnsi="Times New Roman" w:cs="Times New Roman"/>
          <w:sz w:val="24"/>
          <w:szCs w:val="24"/>
          <w:lang w:val="en-GB"/>
        </w:rPr>
        <w:t xml:space="preserve">. This view of technological change relaxing resource constraints became a hallmark of the neoclassical growth paradigm and has since shaped economic policy over many decades. However, as critics-most noticeably ecological economists-have pointed out, the neoclassical model does not show the consequent environmental degradation and resource depletion to which there exists parallel economic growth. By taking a view of nature as exogenous to the system, rather than an integral part of it, neoclassical economics promotes a growth fantasy that has little association with the true world of ecology </w:t>
      </w:r>
      <w:r w:rsidR="00CE10A1">
        <w:rPr>
          <w:rFonts w:ascii="Times New Roman" w:hAnsi="Times New Roman" w:cs="Times New Roman"/>
          <w:sz w:val="24"/>
          <w:szCs w:val="24"/>
          <w:lang w:val="en-GB"/>
        </w:rPr>
        <w:t>(</w:t>
      </w:r>
      <w:r w:rsidRPr="001B6D13">
        <w:rPr>
          <w:rFonts w:ascii="Times New Roman" w:hAnsi="Times New Roman" w:cs="Times New Roman"/>
          <w:sz w:val="24"/>
          <w:szCs w:val="24"/>
          <w:lang w:val="en-GB"/>
        </w:rPr>
        <w:t>Georgescu-</w:t>
      </w:r>
      <w:proofErr w:type="spellStart"/>
      <w:r w:rsidRPr="001B6D13">
        <w:rPr>
          <w:rFonts w:ascii="Times New Roman" w:hAnsi="Times New Roman" w:cs="Times New Roman"/>
          <w:sz w:val="24"/>
          <w:szCs w:val="24"/>
          <w:lang w:val="en-GB"/>
        </w:rPr>
        <w:t>Roegen</w:t>
      </w:r>
      <w:proofErr w:type="spellEnd"/>
      <w:r w:rsidR="00CE10A1">
        <w:rPr>
          <w:rFonts w:ascii="Times New Roman" w:hAnsi="Times New Roman" w:cs="Times New Roman"/>
          <w:sz w:val="24"/>
          <w:szCs w:val="24"/>
          <w:lang w:val="en-GB"/>
        </w:rPr>
        <w:t>,</w:t>
      </w:r>
      <w:r w:rsidRPr="001B6D13">
        <w:rPr>
          <w:rFonts w:ascii="Times New Roman" w:hAnsi="Times New Roman" w:cs="Times New Roman"/>
          <w:sz w:val="24"/>
          <w:szCs w:val="24"/>
          <w:lang w:val="en-GB"/>
        </w:rPr>
        <w:t xml:space="preserve"> 1971</w:t>
      </w:r>
      <w:r w:rsidR="00CE10A1">
        <w:rPr>
          <w:rFonts w:ascii="Times New Roman" w:hAnsi="Times New Roman" w:cs="Times New Roman"/>
          <w:sz w:val="24"/>
          <w:szCs w:val="24"/>
          <w:lang w:val="en-GB"/>
        </w:rPr>
        <w:t>)</w:t>
      </w:r>
      <w:r w:rsidRPr="001B6D13">
        <w:rPr>
          <w:rFonts w:ascii="Times New Roman" w:hAnsi="Times New Roman" w:cs="Times New Roman"/>
          <w:sz w:val="24"/>
          <w:szCs w:val="24"/>
          <w:lang w:val="en-GB"/>
        </w:rPr>
        <w:t>. It was an important omission, with far-reaching consequences for the sustainability of the growth model in a new geological era, the Anthropocene.</w:t>
      </w:r>
    </w:p>
    <w:p w14:paraId="14B0741D" w14:textId="55359691" w:rsidR="00D31E48" w:rsidRPr="001B6D13" w:rsidRDefault="00D31E48" w:rsidP="001B6D13">
      <w:pPr>
        <w:jc w:val="both"/>
        <w:rPr>
          <w:rFonts w:ascii="Times New Roman" w:hAnsi="Times New Roman" w:cs="Times New Roman"/>
          <w:sz w:val="24"/>
          <w:szCs w:val="24"/>
          <w:lang w:val="en-GB"/>
        </w:rPr>
      </w:pPr>
    </w:p>
    <w:p w14:paraId="50634451" w14:textId="18A53B8A" w:rsidR="00D31E48" w:rsidRPr="001B6D13" w:rsidRDefault="00D31E48" w:rsidP="001B6D13">
      <w:pPr>
        <w:pStyle w:val="ListParagraph"/>
        <w:numPr>
          <w:ilvl w:val="1"/>
          <w:numId w:val="1"/>
        </w:numPr>
        <w:jc w:val="both"/>
        <w:rPr>
          <w:rFonts w:ascii="Times New Roman" w:hAnsi="Times New Roman" w:cs="Times New Roman"/>
          <w:b/>
          <w:bCs/>
          <w:sz w:val="24"/>
          <w:szCs w:val="24"/>
          <w:lang w:val="en-GB"/>
        </w:rPr>
      </w:pPr>
      <w:r w:rsidRPr="001B6D13">
        <w:rPr>
          <w:rFonts w:ascii="Times New Roman" w:hAnsi="Times New Roman" w:cs="Times New Roman"/>
          <w:b/>
          <w:bCs/>
          <w:sz w:val="24"/>
          <w:szCs w:val="24"/>
          <w:lang w:val="en-GB"/>
        </w:rPr>
        <w:t>Critiques of Growth-Oriented Thought</w:t>
      </w:r>
    </w:p>
    <w:p w14:paraId="4BEE8E99" w14:textId="77777777" w:rsidR="00D31E48" w:rsidRPr="001B6D13" w:rsidRDefault="00D31E48" w:rsidP="001B6D13">
      <w:pPr>
        <w:jc w:val="both"/>
        <w:rPr>
          <w:rFonts w:ascii="Times New Roman" w:hAnsi="Times New Roman" w:cs="Times New Roman"/>
          <w:sz w:val="24"/>
          <w:szCs w:val="24"/>
          <w:lang w:val="en-GB"/>
        </w:rPr>
      </w:pPr>
      <w:r w:rsidRPr="001B6D13">
        <w:rPr>
          <w:rFonts w:ascii="Times New Roman" w:hAnsi="Times New Roman" w:cs="Times New Roman"/>
          <w:sz w:val="24"/>
          <w:szCs w:val="24"/>
          <w:lang w:val="en-GB"/>
        </w:rPr>
        <w:t>More recently, this growth paradigm has come under attack, in particular by ecological economists and environmental philosophers. The emerging area of ecological economics, through seminal thinkers such as Nicholas Georgescu-</w:t>
      </w:r>
      <w:proofErr w:type="spellStart"/>
      <w:r w:rsidRPr="001B6D13">
        <w:rPr>
          <w:rFonts w:ascii="Times New Roman" w:hAnsi="Times New Roman" w:cs="Times New Roman"/>
          <w:sz w:val="24"/>
          <w:szCs w:val="24"/>
          <w:lang w:val="en-GB"/>
        </w:rPr>
        <w:t>Roegen</w:t>
      </w:r>
      <w:proofErr w:type="spellEnd"/>
      <w:r w:rsidRPr="001B6D13">
        <w:rPr>
          <w:rFonts w:ascii="Times New Roman" w:hAnsi="Times New Roman" w:cs="Times New Roman"/>
          <w:sz w:val="24"/>
          <w:szCs w:val="24"/>
          <w:lang w:val="en-GB"/>
        </w:rPr>
        <w:t xml:space="preserve"> and Herman Daly, contests the thesis of continuous economic growth as feasible and desirable. Georgescu-</w:t>
      </w:r>
      <w:proofErr w:type="spellStart"/>
      <w:r w:rsidRPr="001B6D13">
        <w:rPr>
          <w:rFonts w:ascii="Times New Roman" w:hAnsi="Times New Roman" w:cs="Times New Roman"/>
          <w:sz w:val="24"/>
          <w:szCs w:val="24"/>
          <w:lang w:val="en-GB"/>
        </w:rPr>
        <w:t>Roegen</w:t>
      </w:r>
      <w:proofErr w:type="spellEnd"/>
      <w:r w:rsidRPr="001B6D13">
        <w:rPr>
          <w:rFonts w:ascii="Times New Roman" w:hAnsi="Times New Roman" w:cs="Times New Roman"/>
          <w:sz w:val="24"/>
          <w:szCs w:val="24"/>
          <w:lang w:val="en-GB"/>
        </w:rPr>
        <w:t xml:space="preserve"> (1971) pressed laws of thermodynamics, especially entropy, as the constraint to economic activity. Both extraction and consumption decrease the amount of energy available for future use; hence, under a closed system like Earth, perpetual growth is impossible.</w:t>
      </w:r>
    </w:p>
    <w:p w14:paraId="73972B69" w14:textId="1CC6337C" w:rsidR="00D31E48" w:rsidRPr="001B6D13" w:rsidRDefault="00D31E48" w:rsidP="001B6D13">
      <w:pPr>
        <w:jc w:val="both"/>
        <w:rPr>
          <w:rFonts w:ascii="Times New Roman" w:hAnsi="Times New Roman" w:cs="Times New Roman"/>
          <w:sz w:val="24"/>
          <w:szCs w:val="24"/>
          <w:lang w:val="en-GB"/>
        </w:rPr>
      </w:pPr>
      <w:r w:rsidRPr="001B6D13">
        <w:rPr>
          <w:rFonts w:ascii="Times New Roman" w:hAnsi="Times New Roman" w:cs="Times New Roman"/>
          <w:sz w:val="24"/>
          <w:szCs w:val="24"/>
          <w:lang w:val="en-GB"/>
        </w:rPr>
        <w:t>Herman Daly built on this further in 1996 with Georgescu-</w:t>
      </w:r>
      <w:proofErr w:type="spellStart"/>
      <w:r w:rsidRPr="001B6D13">
        <w:rPr>
          <w:rFonts w:ascii="Times New Roman" w:hAnsi="Times New Roman" w:cs="Times New Roman"/>
          <w:sz w:val="24"/>
          <w:szCs w:val="24"/>
          <w:lang w:val="en-GB"/>
        </w:rPr>
        <w:t>Roegen's</w:t>
      </w:r>
      <w:proofErr w:type="spellEnd"/>
      <w:r w:rsidRPr="001B6D13">
        <w:rPr>
          <w:rFonts w:ascii="Times New Roman" w:hAnsi="Times New Roman" w:cs="Times New Roman"/>
          <w:sz w:val="24"/>
          <w:szCs w:val="24"/>
          <w:lang w:val="en-GB"/>
        </w:rPr>
        <w:t xml:space="preserve"> ideas on a steady-state economy in which resources are utilized at a rate that is within ecological limits and where attention shifts from growth to sustainability. Through such, Daly sought to </w:t>
      </w:r>
      <w:r w:rsidRPr="001B6D13">
        <w:rPr>
          <w:rFonts w:ascii="Times New Roman" w:hAnsi="Times New Roman" w:cs="Times New Roman"/>
          <w:sz w:val="24"/>
          <w:szCs w:val="24"/>
          <w:lang w:val="en-GB"/>
        </w:rPr>
        <w:lastRenderedPageBreak/>
        <w:t>highlight that it was a subsystem of the biosphere; hence, it was a fallacy of infinite growth within a finite system. For that matter, he said that the focus of economic activity has shifted away from the maximization of GDP toward one balanced between human welfare and environmental sustainability.</w:t>
      </w:r>
      <w:r w:rsidR="001B6D13">
        <w:rPr>
          <w:rFonts w:ascii="Times New Roman" w:hAnsi="Times New Roman" w:cs="Times New Roman"/>
          <w:sz w:val="24"/>
          <w:szCs w:val="24"/>
          <w:lang w:val="en-GB"/>
        </w:rPr>
        <w:t xml:space="preserve"> </w:t>
      </w:r>
      <w:r w:rsidRPr="001B6D13">
        <w:rPr>
          <w:rFonts w:ascii="Times New Roman" w:hAnsi="Times New Roman" w:cs="Times New Roman"/>
          <w:sz w:val="24"/>
          <w:szCs w:val="24"/>
          <w:lang w:val="en-GB"/>
        </w:rPr>
        <w:t xml:space="preserve">For example, Tim Jackson's Prosperity Without Growth, which challenged the dogma of an automatic rise in well-being with more growth, observed that for many of the now developed nations, increases in GDP were not matched by improvements either in life satisfaction or happiness. He goes on to assert that beyond this point, growth is </w:t>
      </w:r>
      <w:r w:rsidR="00CE10A1">
        <w:rPr>
          <w:rFonts w:ascii="Times New Roman" w:hAnsi="Times New Roman" w:cs="Times New Roman"/>
          <w:sz w:val="24"/>
          <w:szCs w:val="24"/>
          <w:lang w:val="en-GB"/>
        </w:rPr>
        <w:t>“</w:t>
      </w:r>
      <w:r w:rsidRPr="001B6D13">
        <w:rPr>
          <w:rFonts w:ascii="Times New Roman" w:hAnsi="Times New Roman" w:cs="Times New Roman"/>
          <w:sz w:val="24"/>
          <w:szCs w:val="24"/>
          <w:lang w:val="en-GB"/>
        </w:rPr>
        <w:t>uneconomic</w:t>
      </w:r>
      <w:r w:rsidR="00CE10A1">
        <w:rPr>
          <w:rFonts w:ascii="Times New Roman" w:hAnsi="Times New Roman" w:cs="Times New Roman"/>
          <w:sz w:val="24"/>
          <w:szCs w:val="24"/>
          <w:lang w:val="en-GB"/>
        </w:rPr>
        <w:t>”</w:t>
      </w:r>
      <w:r w:rsidRPr="001B6D13">
        <w:rPr>
          <w:rFonts w:ascii="Times New Roman" w:hAnsi="Times New Roman" w:cs="Times New Roman"/>
          <w:sz w:val="24"/>
          <w:szCs w:val="24"/>
          <w:lang w:val="en-GB"/>
        </w:rPr>
        <w:t>, generating environmental and social costs that outweigh the benefits (Jackson, 2009).</w:t>
      </w:r>
      <w:r w:rsidR="001B6D13">
        <w:rPr>
          <w:rFonts w:ascii="Times New Roman" w:hAnsi="Times New Roman" w:cs="Times New Roman"/>
          <w:sz w:val="24"/>
          <w:szCs w:val="24"/>
          <w:lang w:val="en-GB"/>
        </w:rPr>
        <w:t xml:space="preserve"> </w:t>
      </w:r>
      <w:r w:rsidRPr="001B6D13">
        <w:rPr>
          <w:rFonts w:ascii="Times New Roman" w:hAnsi="Times New Roman" w:cs="Times New Roman"/>
          <w:sz w:val="24"/>
          <w:szCs w:val="24"/>
          <w:lang w:val="en-GB"/>
        </w:rPr>
        <w:t>Another seminal work which also perpetuated this incentive for reconsideration of the growth paradigm was the report of the Club of Rome in 1972 under the title The Limits to Growth. Using a computer simulation, Meadows et al. (1972) projected that if history continued with its current trends in population growth, resource consumption, and pollution, an ecological collapse would happen sometime during the 21st century.</w:t>
      </w:r>
    </w:p>
    <w:p w14:paraId="09695342" w14:textId="7AB1E2B3" w:rsidR="00D31E48" w:rsidRPr="001B6D13" w:rsidRDefault="00D31E48" w:rsidP="001B6D13">
      <w:pPr>
        <w:jc w:val="both"/>
        <w:rPr>
          <w:rFonts w:ascii="Times New Roman" w:hAnsi="Times New Roman" w:cs="Times New Roman"/>
          <w:sz w:val="24"/>
          <w:szCs w:val="24"/>
          <w:lang w:val="en-GB"/>
        </w:rPr>
      </w:pPr>
      <w:r w:rsidRPr="001B6D13">
        <w:rPr>
          <w:rFonts w:ascii="Times New Roman" w:hAnsi="Times New Roman" w:cs="Times New Roman"/>
          <w:sz w:val="24"/>
          <w:szCs w:val="24"/>
          <w:lang w:val="en-GB"/>
        </w:rPr>
        <w:t>Although at the time most economists viewed it as overly pessimistic, in retrospect, much of the projection was reasonably well on target (Turner</w:t>
      </w:r>
      <w:r w:rsidR="00CE10A1">
        <w:rPr>
          <w:rFonts w:ascii="Times New Roman" w:hAnsi="Times New Roman" w:cs="Times New Roman"/>
          <w:sz w:val="24"/>
          <w:szCs w:val="24"/>
          <w:lang w:val="en-GB"/>
        </w:rPr>
        <w:t>,</w:t>
      </w:r>
      <w:r w:rsidRPr="001B6D13">
        <w:rPr>
          <w:rFonts w:ascii="Times New Roman" w:hAnsi="Times New Roman" w:cs="Times New Roman"/>
          <w:sz w:val="24"/>
          <w:szCs w:val="24"/>
          <w:lang w:val="en-GB"/>
        </w:rPr>
        <w:t xml:space="preserve"> 2014).</w:t>
      </w:r>
    </w:p>
    <w:p w14:paraId="2B0A4F3F" w14:textId="084F0484" w:rsidR="00CE10A1" w:rsidRDefault="00D31E48" w:rsidP="001B6D13">
      <w:pPr>
        <w:jc w:val="both"/>
        <w:rPr>
          <w:rFonts w:ascii="Times New Roman" w:hAnsi="Times New Roman" w:cs="Times New Roman"/>
          <w:sz w:val="24"/>
          <w:szCs w:val="24"/>
          <w:lang w:val="en-GB"/>
        </w:rPr>
      </w:pPr>
      <w:r w:rsidRPr="001B6D13">
        <w:rPr>
          <w:rFonts w:ascii="Times New Roman" w:hAnsi="Times New Roman" w:cs="Times New Roman"/>
          <w:sz w:val="24"/>
          <w:szCs w:val="24"/>
          <w:lang w:val="en-GB"/>
        </w:rPr>
        <w:t>These critiques notwithstanding, the growth paradigm remains deeply embedded in economic theory and in public policy. Yet, even as the evidence piles up that such economic growth is also wedded to environmental degradation and increasing social inequality, GDP growth remains the first order of magnitude of economic performance targeted by governments and international institutions. The part of this that can be attributed to its ideological underpinning is at least partial. It has come to be seen as the panacea for everything from unemployment to poverty, and any proposal to restrain growth has been resisted with the utmost ferocity by powerful economic and political interests (Schmelzer</w:t>
      </w:r>
      <w:r w:rsidR="00CE10A1">
        <w:rPr>
          <w:rFonts w:ascii="Times New Roman" w:hAnsi="Times New Roman" w:cs="Times New Roman"/>
          <w:sz w:val="24"/>
          <w:szCs w:val="24"/>
          <w:lang w:val="en-GB"/>
        </w:rPr>
        <w:t>,</w:t>
      </w:r>
      <w:r w:rsidRPr="001B6D13">
        <w:rPr>
          <w:rFonts w:ascii="Times New Roman" w:hAnsi="Times New Roman" w:cs="Times New Roman"/>
          <w:sz w:val="24"/>
          <w:szCs w:val="24"/>
          <w:lang w:val="en-GB"/>
        </w:rPr>
        <w:t xml:space="preserve"> 2016). However, with the increasing visibility of the ecological and social costs of growth, a revision in thinking about economic progress has started. For instance, the degrowth movement calls for a radical abandonment of the centricity of growth in economic policy. According to degrowth, rather than seeking unlimited expansion, societies should focus their efforts on shrinking their resource use while advancing social equity and well-being (Latouche, 2009). </w:t>
      </w:r>
    </w:p>
    <w:p w14:paraId="1721D758" w14:textId="77777777" w:rsidR="00CE10A1" w:rsidRDefault="00CE10A1" w:rsidP="001B6D13">
      <w:pPr>
        <w:jc w:val="both"/>
        <w:rPr>
          <w:rFonts w:ascii="Times New Roman" w:hAnsi="Times New Roman" w:cs="Times New Roman"/>
          <w:sz w:val="24"/>
          <w:szCs w:val="24"/>
          <w:lang w:val="en-GB"/>
        </w:rPr>
      </w:pPr>
    </w:p>
    <w:p w14:paraId="78B92D8E" w14:textId="77777777" w:rsidR="001B6D13" w:rsidRPr="001B6D13" w:rsidRDefault="001B6D13" w:rsidP="001B6D13">
      <w:pPr>
        <w:jc w:val="both"/>
        <w:rPr>
          <w:rFonts w:ascii="Times New Roman" w:hAnsi="Times New Roman" w:cs="Times New Roman"/>
          <w:sz w:val="24"/>
          <w:szCs w:val="24"/>
          <w:lang w:val="en-GB"/>
        </w:rPr>
      </w:pPr>
    </w:p>
    <w:p w14:paraId="5B191042" w14:textId="54F3A55E" w:rsidR="001B6D13" w:rsidRPr="001B6D13" w:rsidRDefault="00B054C0" w:rsidP="001B6D13">
      <w:pPr>
        <w:pStyle w:val="ListParagraph"/>
        <w:numPr>
          <w:ilvl w:val="0"/>
          <w:numId w:val="1"/>
        </w:numPr>
        <w:jc w:val="both"/>
        <w:rPr>
          <w:rFonts w:ascii="Times New Roman" w:hAnsi="Times New Roman" w:cs="Times New Roman"/>
          <w:b/>
          <w:bCs/>
          <w:sz w:val="28"/>
          <w:szCs w:val="28"/>
          <w:lang w:val="en-GB"/>
        </w:rPr>
      </w:pPr>
      <w:r w:rsidRPr="001B6D13">
        <w:rPr>
          <w:rFonts w:ascii="Times New Roman" w:hAnsi="Times New Roman" w:cs="Times New Roman"/>
          <w:b/>
          <w:bCs/>
          <w:sz w:val="28"/>
          <w:szCs w:val="28"/>
          <w:lang w:val="en-GB"/>
        </w:rPr>
        <w:t>Ecological Constraints and the Limits to Growth</w:t>
      </w:r>
    </w:p>
    <w:p w14:paraId="4099C28E" w14:textId="11B8F858" w:rsidR="00B054C0" w:rsidRPr="001B6D13" w:rsidRDefault="00B054C0" w:rsidP="001B6D13">
      <w:pPr>
        <w:pStyle w:val="ListParagraph"/>
        <w:numPr>
          <w:ilvl w:val="1"/>
          <w:numId w:val="1"/>
        </w:numPr>
        <w:jc w:val="both"/>
        <w:rPr>
          <w:rFonts w:ascii="Times New Roman" w:hAnsi="Times New Roman" w:cs="Times New Roman"/>
          <w:b/>
          <w:bCs/>
          <w:sz w:val="24"/>
          <w:szCs w:val="24"/>
          <w:lang w:val="en-GB"/>
        </w:rPr>
      </w:pPr>
      <w:r w:rsidRPr="001B6D13">
        <w:rPr>
          <w:rFonts w:ascii="Times New Roman" w:hAnsi="Times New Roman" w:cs="Times New Roman"/>
          <w:b/>
          <w:bCs/>
          <w:sz w:val="24"/>
          <w:szCs w:val="24"/>
          <w:lang w:val="en-GB"/>
        </w:rPr>
        <w:t>Planetary Boundaries and the Anthropocene</w:t>
      </w:r>
    </w:p>
    <w:p w14:paraId="6989F03B" w14:textId="01560CA9" w:rsidR="00B054C0" w:rsidRPr="001B6D13" w:rsidRDefault="00B054C0" w:rsidP="001B6D13">
      <w:pPr>
        <w:jc w:val="both"/>
        <w:rPr>
          <w:rFonts w:ascii="Times New Roman" w:hAnsi="Times New Roman" w:cs="Times New Roman"/>
          <w:sz w:val="24"/>
          <w:szCs w:val="24"/>
          <w:lang w:val="en-GB"/>
        </w:rPr>
      </w:pPr>
      <w:r w:rsidRPr="001B6D13">
        <w:rPr>
          <w:rFonts w:ascii="Times New Roman" w:hAnsi="Times New Roman" w:cs="Times New Roman"/>
          <w:sz w:val="24"/>
          <w:szCs w:val="24"/>
          <w:lang w:val="en-GB"/>
        </w:rPr>
        <w:t xml:space="preserve">The Anthropocene-that is, the epoch marked by the overbearingly dominant influence of mankind on Earth's systems-strongly questions the very basis of assumptions of infinite growth. In real contrast to the Holocene, or the age of great climatic stability which </w:t>
      </w:r>
      <w:r w:rsidRPr="001B6D13">
        <w:rPr>
          <w:rFonts w:ascii="Times New Roman" w:hAnsi="Times New Roman" w:cs="Times New Roman"/>
          <w:sz w:val="24"/>
          <w:szCs w:val="24"/>
          <w:lang w:val="en-GB"/>
        </w:rPr>
        <w:lastRenderedPageBreak/>
        <w:t>allowed humankind to develop its civilizations, the Anthropocene represents an escalation of such environmental pressures as climate change, loss of biodiversity, and resource depletion. These stresses put in bright light the boundaries beyond which traditional economic models cannot go on with limitless growth.</w:t>
      </w:r>
      <w:r w:rsidR="001B6D13">
        <w:rPr>
          <w:rFonts w:ascii="Times New Roman" w:hAnsi="Times New Roman" w:cs="Times New Roman"/>
          <w:sz w:val="24"/>
          <w:szCs w:val="24"/>
          <w:lang w:val="en-GB"/>
        </w:rPr>
        <w:t xml:space="preserve"> </w:t>
      </w:r>
      <w:r w:rsidRPr="001B6D13">
        <w:rPr>
          <w:rFonts w:ascii="Times New Roman" w:hAnsi="Times New Roman" w:cs="Times New Roman"/>
          <w:sz w:val="24"/>
          <w:szCs w:val="24"/>
          <w:lang w:val="en-GB"/>
        </w:rPr>
        <w:t xml:space="preserve">Central to the ecological critique of unlimited growth is the concept of planetary boundaries, developed by </w:t>
      </w:r>
      <w:proofErr w:type="spellStart"/>
      <w:r w:rsidRPr="001B6D13">
        <w:rPr>
          <w:rFonts w:ascii="Times New Roman" w:hAnsi="Times New Roman" w:cs="Times New Roman"/>
          <w:sz w:val="24"/>
          <w:szCs w:val="24"/>
          <w:lang w:val="en-GB"/>
        </w:rPr>
        <w:t>Rockström</w:t>
      </w:r>
      <w:proofErr w:type="spellEnd"/>
      <w:r w:rsidRPr="001B6D13">
        <w:rPr>
          <w:rFonts w:ascii="Times New Roman" w:hAnsi="Times New Roman" w:cs="Times New Roman"/>
          <w:sz w:val="24"/>
          <w:szCs w:val="24"/>
          <w:lang w:val="en-GB"/>
        </w:rPr>
        <w:t xml:space="preserve"> et al. </w:t>
      </w:r>
      <w:r w:rsidR="00CE10A1">
        <w:rPr>
          <w:rFonts w:ascii="Times New Roman" w:hAnsi="Times New Roman" w:cs="Times New Roman"/>
          <w:sz w:val="24"/>
          <w:szCs w:val="24"/>
          <w:lang w:val="en-GB"/>
        </w:rPr>
        <w:t>(</w:t>
      </w:r>
      <w:r w:rsidRPr="001B6D13">
        <w:rPr>
          <w:rFonts w:ascii="Times New Roman" w:hAnsi="Times New Roman" w:cs="Times New Roman"/>
          <w:sz w:val="24"/>
          <w:szCs w:val="24"/>
          <w:lang w:val="en-GB"/>
        </w:rPr>
        <w:t>2009</w:t>
      </w:r>
      <w:r w:rsidR="00CE10A1">
        <w:rPr>
          <w:rFonts w:ascii="Times New Roman" w:hAnsi="Times New Roman" w:cs="Times New Roman"/>
          <w:sz w:val="24"/>
          <w:szCs w:val="24"/>
          <w:lang w:val="en-GB"/>
        </w:rPr>
        <w:t>)</w:t>
      </w:r>
      <w:r w:rsidRPr="001B6D13">
        <w:rPr>
          <w:rFonts w:ascii="Times New Roman" w:hAnsi="Times New Roman" w:cs="Times New Roman"/>
          <w:sz w:val="24"/>
          <w:szCs w:val="24"/>
          <w:lang w:val="en-GB"/>
        </w:rPr>
        <w:t>. The strong framework identifies nine Earth system processes responsible for stability and resilience, which include those such as climate change, biosphere integrity-biodiversity, ocean acidification, and nitrogen and phosphorus cycles. This could mean crossing thresholds beyond which the state of the environment would degrade irreversibly, prohibiting the continued existence of human life on Earth.</w:t>
      </w:r>
    </w:p>
    <w:p w14:paraId="706B18A7" w14:textId="77777777" w:rsidR="00B054C0" w:rsidRPr="001B6D13" w:rsidRDefault="00B054C0" w:rsidP="001B6D13">
      <w:pPr>
        <w:jc w:val="both"/>
        <w:rPr>
          <w:rFonts w:ascii="Times New Roman" w:hAnsi="Times New Roman" w:cs="Times New Roman"/>
          <w:sz w:val="24"/>
          <w:szCs w:val="24"/>
          <w:lang w:val="en-GB"/>
        </w:rPr>
      </w:pPr>
      <w:r w:rsidRPr="001B6D13">
        <w:rPr>
          <w:rFonts w:ascii="Times New Roman" w:hAnsi="Times New Roman" w:cs="Times New Roman"/>
          <w:sz w:val="24"/>
          <w:szCs w:val="24"/>
          <w:lang w:val="en-GB"/>
        </w:rPr>
        <w:t>The rapid acceleration of economic growth in the Anthropocene has pushed many of these planetary boundaries to dangerous levels. For instance, the concentration of carbon dioxide in the atmosphere has surpassed 400 parts per million (ppm), far exceeding the pre-industrial level of 280 ppm (Steffen et al., 2015).</w:t>
      </w:r>
    </w:p>
    <w:p w14:paraId="796516B5" w14:textId="457FFC8E" w:rsidR="00B054C0" w:rsidRPr="001B6D13" w:rsidRDefault="00B054C0" w:rsidP="001B6D13">
      <w:pPr>
        <w:jc w:val="both"/>
        <w:rPr>
          <w:rFonts w:ascii="Times New Roman" w:hAnsi="Times New Roman" w:cs="Times New Roman"/>
          <w:sz w:val="24"/>
          <w:szCs w:val="24"/>
          <w:lang w:val="en-GB"/>
        </w:rPr>
      </w:pPr>
      <w:r w:rsidRPr="001B6D13">
        <w:rPr>
          <w:rFonts w:ascii="Times New Roman" w:hAnsi="Times New Roman" w:cs="Times New Roman"/>
          <w:sz w:val="24"/>
          <w:szCs w:val="24"/>
          <w:lang w:val="en-GB"/>
        </w:rPr>
        <w:t xml:space="preserve">This increase of GHGs drives global climate change, which manifests itself through rising temperatures, melting polar ice, and increased frequency of extreme weather events. There is also biodiversity loss-what many scientists are referring to as the </w:t>
      </w:r>
      <w:r w:rsidR="00CE10A1">
        <w:rPr>
          <w:rFonts w:ascii="Times New Roman" w:hAnsi="Times New Roman" w:cs="Times New Roman"/>
          <w:sz w:val="24"/>
          <w:szCs w:val="24"/>
          <w:lang w:val="en-GB"/>
        </w:rPr>
        <w:t>“</w:t>
      </w:r>
      <w:r w:rsidRPr="001B6D13">
        <w:rPr>
          <w:rFonts w:ascii="Times New Roman" w:hAnsi="Times New Roman" w:cs="Times New Roman"/>
          <w:sz w:val="24"/>
          <w:szCs w:val="24"/>
          <w:lang w:val="en-GB"/>
        </w:rPr>
        <w:t>sixth mass extinction</w:t>
      </w:r>
      <w:r w:rsidR="00CE10A1">
        <w:rPr>
          <w:rFonts w:ascii="Times New Roman" w:hAnsi="Times New Roman" w:cs="Times New Roman"/>
          <w:sz w:val="24"/>
          <w:szCs w:val="24"/>
          <w:lang w:val="en-GB"/>
        </w:rPr>
        <w:t>”</w:t>
      </w:r>
      <w:r w:rsidRPr="001B6D13">
        <w:rPr>
          <w:rFonts w:ascii="Times New Roman" w:hAnsi="Times New Roman" w:cs="Times New Roman"/>
          <w:sz w:val="24"/>
          <w:szCs w:val="24"/>
          <w:lang w:val="en-GB"/>
        </w:rPr>
        <w:t>-</w:t>
      </w:r>
      <w:r w:rsidR="00CE10A1">
        <w:rPr>
          <w:rFonts w:ascii="Times New Roman" w:hAnsi="Times New Roman" w:cs="Times New Roman"/>
          <w:sz w:val="24"/>
          <w:szCs w:val="24"/>
          <w:lang w:val="en-GB"/>
        </w:rPr>
        <w:t xml:space="preserve"> </w:t>
      </w:r>
      <w:r w:rsidRPr="001B6D13">
        <w:rPr>
          <w:rFonts w:ascii="Times New Roman" w:hAnsi="Times New Roman" w:cs="Times New Roman"/>
          <w:sz w:val="24"/>
          <w:szCs w:val="24"/>
          <w:lang w:val="en-GB"/>
        </w:rPr>
        <w:t>occurring at a rate 100 to 1,000 times greater than the natural background rate of extinction due to habitat destruction, pollution, and overexploitation (Barnosky et al., 2011). The concept of planetary boundaries confronts this growth paradigm by indicating that there are physical limits to economic growth. It shows that no economies can be sustained by growing resources extraction and pollution emission on a finite Earth. Following what ecological economists have said for many years, an economy is supposed to work within the Earth's carrying capacity-that is, economic activity shall not surpass the Earth's capacity of renewing resources and absorbing waste (Daly, 1996).</w:t>
      </w:r>
      <w:r w:rsidR="001B6D13">
        <w:rPr>
          <w:rFonts w:ascii="Times New Roman" w:hAnsi="Times New Roman" w:cs="Times New Roman"/>
          <w:sz w:val="24"/>
          <w:szCs w:val="24"/>
          <w:lang w:val="en-GB"/>
        </w:rPr>
        <w:t xml:space="preserve"> </w:t>
      </w:r>
      <w:r w:rsidRPr="001B6D13">
        <w:rPr>
          <w:rFonts w:ascii="Times New Roman" w:hAnsi="Times New Roman" w:cs="Times New Roman"/>
          <w:sz w:val="24"/>
          <w:szCs w:val="24"/>
          <w:lang w:val="en-GB"/>
        </w:rPr>
        <w:t>Moreover, such disregard for these limits threatens not just environmental stability but the very future survival of human societies.</w:t>
      </w:r>
    </w:p>
    <w:p w14:paraId="36252334" w14:textId="77777777" w:rsidR="00B054C0" w:rsidRPr="001B6D13" w:rsidRDefault="00B054C0" w:rsidP="001B6D13">
      <w:pPr>
        <w:jc w:val="both"/>
        <w:rPr>
          <w:rFonts w:ascii="Times New Roman" w:hAnsi="Times New Roman" w:cs="Times New Roman"/>
          <w:sz w:val="24"/>
          <w:szCs w:val="24"/>
          <w:lang w:val="en-GB"/>
        </w:rPr>
      </w:pPr>
    </w:p>
    <w:p w14:paraId="7336FA3D" w14:textId="00816AD5" w:rsidR="001B6D13" w:rsidRPr="001B6D13" w:rsidRDefault="00B054C0" w:rsidP="001B6D13">
      <w:pPr>
        <w:pStyle w:val="ListParagraph"/>
        <w:numPr>
          <w:ilvl w:val="1"/>
          <w:numId w:val="1"/>
        </w:numPr>
        <w:jc w:val="both"/>
        <w:rPr>
          <w:rFonts w:ascii="Times New Roman" w:hAnsi="Times New Roman" w:cs="Times New Roman"/>
          <w:b/>
          <w:bCs/>
          <w:sz w:val="24"/>
          <w:szCs w:val="24"/>
          <w:lang w:val="en-GB"/>
        </w:rPr>
      </w:pPr>
      <w:r w:rsidRPr="001B6D13">
        <w:rPr>
          <w:rFonts w:ascii="Times New Roman" w:hAnsi="Times New Roman" w:cs="Times New Roman"/>
          <w:b/>
          <w:bCs/>
          <w:sz w:val="24"/>
          <w:szCs w:val="24"/>
          <w:lang w:val="en-GB"/>
        </w:rPr>
        <w:t xml:space="preserve">Ecological Economics: An Alternative Framework </w:t>
      </w:r>
    </w:p>
    <w:p w14:paraId="5CFF2B9E" w14:textId="023D834B" w:rsidR="001B6D13" w:rsidRDefault="00B054C0" w:rsidP="001B6D13">
      <w:pPr>
        <w:jc w:val="both"/>
        <w:rPr>
          <w:rFonts w:ascii="Times New Roman" w:hAnsi="Times New Roman" w:cs="Times New Roman"/>
          <w:sz w:val="24"/>
          <w:szCs w:val="24"/>
          <w:lang w:val="en-GB"/>
        </w:rPr>
      </w:pPr>
      <w:r w:rsidRPr="001B6D13">
        <w:rPr>
          <w:rFonts w:ascii="Times New Roman" w:hAnsi="Times New Roman" w:cs="Times New Roman"/>
          <w:sz w:val="24"/>
          <w:szCs w:val="24"/>
          <w:lang w:val="en-GB"/>
        </w:rPr>
        <w:t xml:space="preserve">It locates ecological sustainability at the very heart of the decision-making process of the economy, so that it is actually an alternative to the growth paradigm. At the end of the 20th century, another approach to economics-ecological economics-emerged with insights into ecology, thermodynamics, and ethics while working with the limitation of the traditional model of economic science. Ecological economics views the economy as a subset of the biosphere and proposes constraining economic activity by the laws of nature. One of the very basic levels of ecological economics is the steady-state economy developed by Daly </w:t>
      </w:r>
      <w:r w:rsidR="00CE10A1">
        <w:rPr>
          <w:rFonts w:ascii="Times New Roman" w:hAnsi="Times New Roman" w:cs="Times New Roman"/>
          <w:sz w:val="24"/>
          <w:szCs w:val="24"/>
          <w:lang w:val="en-GB"/>
        </w:rPr>
        <w:t>(</w:t>
      </w:r>
      <w:r w:rsidRPr="001B6D13">
        <w:rPr>
          <w:rFonts w:ascii="Times New Roman" w:hAnsi="Times New Roman" w:cs="Times New Roman"/>
          <w:sz w:val="24"/>
          <w:szCs w:val="24"/>
          <w:lang w:val="en-GB"/>
        </w:rPr>
        <w:t>1996</w:t>
      </w:r>
      <w:r w:rsidR="00CE10A1">
        <w:rPr>
          <w:rFonts w:ascii="Times New Roman" w:hAnsi="Times New Roman" w:cs="Times New Roman"/>
          <w:sz w:val="24"/>
          <w:szCs w:val="24"/>
          <w:lang w:val="en-GB"/>
        </w:rPr>
        <w:t>)</w:t>
      </w:r>
      <w:r w:rsidRPr="001B6D13">
        <w:rPr>
          <w:rFonts w:ascii="Times New Roman" w:hAnsi="Times New Roman" w:cs="Times New Roman"/>
          <w:sz w:val="24"/>
          <w:szCs w:val="24"/>
          <w:lang w:val="en-GB"/>
        </w:rPr>
        <w:t xml:space="preserve">. Resources used, energy consumed, and population developed in the steady-state economy are relatively constant or only slightly fluctuating over time. </w:t>
      </w:r>
      <w:r w:rsidRPr="001B6D13">
        <w:rPr>
          <w:rFonts w:ascii="Times New Roman" w:hAnsi="Times New Roman" w:cs="Times New Roman"/>
          <w:sz w:val="24"/>
          <w:szCs w:val="24"/>
          <w:lang w:val="en-GB"/>
        </w:rPr>
        <w:lastRenderedPageBreak/>
        <w:t>In a steady-state economy, the focus lies rather on long-term ecological sustainability and human well-being than on limitless growth in output. Daly insists on shifting attention from quantitative growth, understood as a rise in production and consumption, to qualitative development, whereby well-being improves through technological and social system innovation without the increase in resource use.</w:t>
      </w:r>
      <w:r w:rsidR="001B6D13">
        <w:rPr>
          <w:rFonts w:ascii="Times New Roman" w:hAnsi="Times New Roman" w:cs="Times New Roman"/>
          <w:sz w:val="24"/>
          <w:szCs w:val="24"/>
          <w:lang w:val="en-GB"/>
        </w:rPr>
        <w:t xml:space="preserve"> </w:t>
      </w:r>
    </w:p>
    <w:p w14:paraId="4814A064" w14:textId="2941B30D" w:rsidR="00B60B88" w:rsidRDefault="00B054C0" w:rsidP="00B60B88">
      <w:pPr>
        <w:spacing w:after="0"/>
        <w:jc w:val="both"/>
        <w:rPr>
          <w:rFonts w:ascii="Times New Roman" w:hAnsi="Times New Roman" w:cs="Times New Roman"/>
          <w:sz w:val="24"/>
          <w:szCs w:val="24"/>
          <w:lang w:val="en-GB"/>
        </w:rPr>
      </w:pPr>
      <w:r w:rsidRPr="001B6D13">
        <w:rPr>
          <w:rFonts w:ascii="Times New Roman" w:hAnsi="Times New Roman" w:cs="Times New Roman"/>
          <w:sz w:val="24"/>
          <w:szCs w:val="24"/>
          <w:lang w:val="en-GB"/>
        </w:rPr>
        <w:t xml:space="preserve">Another important father of ecological economics is </w:t>
      </w:r>
      <w:r w:rsidR="00DA17F0">
        <w:rPr>
          <w:rFonts w:ascii="Times New Roman" w:hAnsi="Times New Roman" w:cs="Times New Roman"/>
          <w:sz w:val="24"/>
          <w:szCs w:val="24"/>
          <w:lang w:val="en-GB"/>
        </w:rPr>
        <w:t xml:space="preserve">the proposition of </w:t>
      </w:r>
      <w:r w:rsidRPr="001B6D13">
        <w:rPr>
          <w:rFonts w:ascii="Times New Roman" w:hAnsi="Times New Roman" w:cs="Times New Roman"/>
          <w:sz w:val="24"/>
          <w:szCs w:val="24"/>
          <w:lang w:val="en-GB"/>
        </w:rPr>
        <w:t>Georgescu-</w:t>
      </w:r>
      <w:proofErr w:type="spellStart"/>
      <w:r w:rsidRPr="001B6D13">
        <w:rPr>
          <w:rFonts w:ascii="Times New Roman" w:hAnsi="Times New Roman" w:cs="Times New Roman"/>
          <w:sz w:val="24"/>
          <w:szCs w:val="24"/>
          <w:lang w:val="en-GB"/>
        </w:rPr>
        <w:t>Roegen</w:t>
      </w:r>
      <w:proofErr w:type="spellEnd"/>
      <w:r w:rsidRPr="001B6D13">
        <w:rPr>
          <w:rFonts w:ascii="Times New Roman" w:hAnsi="Times New Roman" w:cs="Times New Roman"/>
          <w:sz w:val="24"/>
          <w:szCs w:val="24"/>
          <w:lang w:val="en-GB"/>
        </w:rPr>
        <w:t xml:space="preserve"> who brings entropy into the economic discussion. As Georgescu-</w:t>
      </w:r>
      <w:proofErr w:type="spellStart"/>
      <w:r w:rsidRPr="001B6D13">
        <w:rPr>
          <w:rFonts w:ascii="Times New Roman" w:hAnsi="Times New Roman" w:cs="Times New Roman"/>
          <w:sz w:val="24"/>
          <w:szCs w:val="24"/>
          <w:lang w:val="en-GB"/>
        </w:rPr>
        <w:t>Roegen</w:t>
      </w:r>
      <w:proofErr w:type="spellEnd"/>
      <w:r w:rsidR="00DA17F0">
        <w:rPr>
          <w:rFonts w:ascii="Times New Roman" w:hAnsi="Times New Roman" w:cs="Times New Roman"/>
          <w:sz w:val="24"/>
          <w:szCs w:val="24"/>
          <w:lang w:val="en-GB"/>
        </w:rPr>
        <w:t xml:space="preserve"> (</w:t>
      </w:r>
      <w:r w:rsidRPr="001B6D13">
        <w:rPr>
          <w:rFonts w:ascii="Times New Roman" w:hAnsi="Times New Roman" w:cs="Times New Roman"/>
          <w:sz w:val="24"/>
          <w:szCs w:val="24"/>
          <w:lang w:val="en-GB"/>
        </w:rPr>
        <w:t>1971</w:t>
      </w:r>
      <w:r w:rsidR="00DA17F0">
        <w:rPr>
          <w:rFonts w:ascii="Times New Roman" w:hAnsi="Times New Roman" w:cs="Times New Roman"/>
          <w:sz w:val="24"/>
          <w:szCs w:val="24"/>
          <w:lang w:val="en-GB"/>
        </w:rPr>
        <w:t>)</w:t>
      </w:r>
      <w:r w:rsidRPr="001B6D13">
        <w:rPr>
          <w:rFonts w:ascii="Times New Roman" w:hAnsi="Times New Roman" w:cs="Times New Roman"/>
          <w:sz w:val="24"/>
          <w:szCs w:val="24"/>
          <w:lang w:val="en-GB"/>
        </w:rPr>
        <w:t xml:space="preserve"> observed, economic processes are constrained by the second law of thermodynamics, or the law that states energy flows unidirectionally or from order to disorder. It may be added here that in economic consumption, energy is irreversibly transformed from a usable low entropy into an unusable state or high entropy.</w:t>
      </w:r>
      <w:r w:rsidR="00B60B88">
        <w:rPr>
          <w:rFonts w:ascii="Times New Roman" w:hAnsi="Times New Roman" w:cs="Times New Roman"/>
          <w:sz w:val="24"/>
          <w:szCs w:val="24"/>
          <w:lang w:val="en-GB"/>
        </w:rPr>
        <w:t xml:space="preserve"> </w:t>
      </w:r>
      <w:r w:rsidRPr="001B6D13">
        <w:rPr>
          <w:rFonts w:ascii="Times New Roman" w:hAnsi="Times New Roman" w:cs="Times New Roman"/>
          <w:sz w:val="24"/>
          <w:szCs w:val="24"/>
          <w:lang w:val="en-GB"/>
        </w:rPr>
        <w:t>This process binds the impossibility of perpetual growth in any economy, as every unit of economic product requires the consumption of energy resources, which by definition cannot but be finite. Georgescu-</w:t>
      </w:r>
      <w:proofErr w:type="spellStart"/>
      <w:r w:rsidRPr="001B6D13">
        <w:rPr>
          <w:rFonts w:ascii="Times New Roman" w:hAnsi="Times New Roman" w:cs="Times New Roman"/>
          <w:sz w:val="24"/>
          <w:szCs w:val="24"/>
          <w:lang w:val="en-GB"/>
        </w:rPr>
        <w:t>Roegen</w:t>
      </w:r>
      <w:proofErr w:type="spellEnd"/>
      <w:r w:rsidRPr="001B6D13">
        <w:rPr>
          <w:rFonts w:ascii="Times New Roman" w:hAnsi="Times New Roman" w:cs="Times New Roman"/>
          <w:sz w:val="24"/>
          <w:szCs w:val="24"/>
          <w:lang w:val="en-GB"/>
        </w:rPr>
        <w:t xml:space="preserve"> emphasized the fact that, to this effect, thermodynamic limits regarding resource and energy use in economic activities should be recognized.</w:t>
      </w:r>
      <w:r w:rsidR="00B60B88">
        <w:rPr>
          <w:rFonts w:ascii="Times New Roman" w:hAnsi="Times New Roman" w:cs="Times New Roman"/>
          <w:sz w:val="24"/>
          <w:szCs w:val="24"/>
          <w:lang w:val="en-GB"/>
        </w:rPr>
        <w:t xml:space="preserve"> </w:t>
      </w:r>
      <w:r w:rsidRPr="001B6D13">
        <w:rPr>
          <w:rFonts w:ascii="Times New Roman" w:hAnsi="Times New Roman" w:cs="Times New Roman"/>
          <w:sz w:val="24"/>
          <w:szCs w:val="24"/>
          <w:lang w:val="en-GB"/>
        </w:rPr>
        <w:t>It also criticizes ecological economics for only assuming that GDP is the measure of economic success.</w:t>
      </w:r>
    </w:p>
    <w:p w14:paraId="5E097431" w14:textId="77777777" w:rsidR="00DA17F0" w:rsidRDefault="00B054C0" w:rsidP="00B60B88">
      <w:pPr>
        <w:spacing w:before="240" w:after="0"/>
        <w:jc w:val="both"/>
        <w:rPr>
          <w:rFonts w:ascii="Times New Roman" w:hAnsi="Times New Roman" w:cs="Times New Roman"/>
          <w:sz w:val="24"/>
          <w:szCs w:val="24"/>
          <w:lang w:val="en-GB"/>
        </w:rPr>
      </w:pPr>
      <w:r w:rsidRPr="001B6D13">
        <w:rPr>
          <w:rFonts w:ascii="Times New Roman" w:hAnsi="Times New Roman" w:cs="Times New Roman"/>
          <w:sz w:val="24"/>
          <w:szCs w:val="24"/>
          <w:lang w:val="en-GB"/>
        </w:rPr>
        <w:t xml:space="preserve">Another weakness is that GDP only includes market transactions and completely leaves out vital components of welfare such as environmental health, social equity, and quality of life. Furthermore, GDP counts natural resource depletion and environmental degradation as if it were an economic gain rather than subtracting the long-term costs of that activity. Ecological economists instead </w:t>
      </w:r>
      <w:r w:rsidR="00DA17F0" w:rsidRPr="001B6D13">
        <w:rPr>
          <w:rFonts w:ascii="Times New Roman" w:hAnsi="Times New Roman" w:cs="Times New Roman"/>
          <w:sz w:val="24"/>
          <w:szCs w:val="24"/>
          <w:lang w:val="en-GB"/>
        </w:rPr>
        <w:t>favour</w:t>
      </w:r>
      <w:r w:rsidRPr="001B6D13">
        <w:rPr>
          <w:rFonts w:ascii="Times New Roman" w:hAnsi="Times New Roman" w:cs="Times New Roman"/>
          <w:sz w:val="24"/>
          <w:szCs w:val="24"/>
          <w:lang w:val="en-GB"/>
        </w:rPr>
        <w:t xml:space="preserve"> metrics such as the Genuine Progress Indicator (GPI) and the HDI that more accurately capture the connection between economic activity and well-being </w:t>
      </w:r>
      <w:r w:rsidR="00DA17F0">
        <w:rPr>
          <w:rFonts w:ascii="Times New Roman" w:hAnsi="Times New Roman" w:cs="Times New Roman"/>
          <w:sz w:val="24"/>
          <w:szCs w:val="24"/>
          <w:lang w:val="en-GB"/>
        </w:rPr>
        <w:t>(</w:t>
      </w:r>
      <w:r w:rsidRPr="001B6D13">
        <w:rPr>
          <w:rFonts w:ascii="Times New Roman" w:hAnsi="Times New Roman" w:cs="Times New Roman"/>
          <w:sz w:val="24"/>
          <w:szCs w:val="24"/>
          <w:lang w:val="en-GB"/>
        </w:rPr>
        <w:t>Costanza et al., 2014</w:t>
      </w:r>
      <w:r w:rsidR="00DA17F0">
        <w:rPr>
          <w:rFonts w:ascii="Times New Roman" w:hAnsi="Times New Roman" w:cs="Times New Roman"/>
          <w:sz w:val="24"/>
          <w:szCs w:val="24"/>
          <w:lang w:val="en-GB"/>
        </w:rPr>
        <w:t>)</w:t>
      </w:r>
      <w:r w:rsidRPr="001B6D13">
        <w:rPr>
          <w:rFonts w:ascii="Times New Roman" w:hAnsi="Times New Roman" w:cs="Times New Roman"/>
          <w:sz w:val="24"/>
          <w:szCs w:val="24"/>
          <w:lang w:val="en-GB"/>
        </w:rPr>
        <w:t xml:space="preserve">. Tim Jackson fuels this critique of growth-based economics in Prosperity Without Growth </w:t>
      </w:r>
      <w:r w:rsidR="00DA17F0">
        <w:rPr>
          <w:rFonts w:ascii="Times New Roman" w:hAnsi="Times New Roman" w:cs="Times New Roman"/>
          <w:sz w:val="24"/>
          <w:szCs w:val="24"/>
          <w:lang w:val="en-GB"/>
        </w:rPr>
        <w:t>(</w:t>
      </w:r>
      <w:r w:rsidRPr="001B6D13">
        <w:rPr>
          <w:rFonts w:ascii="Times New Roman" w:hAnsi="Times New Roman" w:cs="Times New Roman"/>
          <w:sz w:val="24"/>
          <w:szCs w:val="24"/>
          <w:lang w:val="en-GB"/>
        </w:rPr>
        <w:t>2009</w:t>
      </w:r>
      <w:r w:rsidR="00DA17F0">
        <w:rPr>
          <w:rFonts w:ascii="Times New Roman" w:hAnsi="Times New Roman" w:cs="Times New Roman"/>
          <w:sz w:val="24"/>
          <w:szCs w:val="24"/>
          <w:lang w:val="en-GB"/>
        </w:rPr>
        <w:t>)</w:t>
      </w:r>
      <w:r w:rsidRPr="001B6D13">
        <w:rPr>
          <w:rFonts w:ascii="Times New Roman" w:hAnsi="Times New Roman" w:cs="Times New Roman"/>
          <w:sz w:val="24"/>
          <w:szCs w:val="24"/>
          <w:lang w:val="en-GB"/>
        </w:rPr>
        <w:t xml:space="preserve">. He propounds that beyond a threshold, further economic growth does not result in increased happiness or well-being. Growth in rich nations is frequently actually linked with increased social inequality and ecological degradation. He therefore calls for a </w:t>
      </w:r>
      <w:r w:rsidR="00DA17F0" w:rsidRPr="001B6D13">
        <w:rPr>
          <w:rFonts w:ascii="Times New Roman" w:hAnsi="Times New Roman" w:cs="Times New Roman"/>
          <w:sz w:val="24"/>
          <w:szCs w:val="24"/>
          <w:lang w:val="en-GB"/>
        </w:rPr>
        <w:t>re-evaluation</w:t>
      </w:r>
      <w:r w:rsidRPr="001B6D13">
        <w:rPr>
          <w:rFonts w:ascii="Times New Roman" w:hAnsi="Times New Roman" w:cs="Times New Roman"/>
          <w:sz w:val="24"/>
          <w:szCs w:val="24"/>
          <w:lang w:val="en-GB"/>
        </w:rPr>
        <w:t xml:space="preserve"> of prosperity whereby success should be measured in terms of well-being, social cohesion, and ecological sustainability, rather than material accumulation. </w:t>
      </w:r>
    </w:p>
    <w:p w14:paraId="1D258CBB" w14:textId="77777777" w:rsidR="00DA17F0" w:rsidRDefault="00DA17F0" w:rsidP="00B60B88">
      <w:pPr>
        <w:spacing w:before="240" w:after="0"/>
        <w:jc w:val="both"/>
        <w:rPr>
          <w:rFonts w:ascii="Times New Roman" w:hAnsi="Times New Roman" w:cs="Times New Roman"/>
          <w:sz w:val="24"/>
          <w:szCs w:val="24"/>
          <w:lang w:val="en-GB"/>
        </w:rPr>
      </w:pPr>
    </w:p>
    <w:p w14:paraId="4F32AAD5" w14:textId="65D08F75" w:rsidR="00DA17F0" w:rsidRPr="00DA17F0" w:rsidRDefault="00B054C0" w:rsidP="00DA17F0">
      <w:pPr>
        <w:pStyle w:val="ListParagraph"/>
        <w:numPr>
          <w:ilvl w:val="1"/>
          <w:numId w:val="1"/>
        </w:numPr>
        <w:spacing w:before="240" w:after="0"/>
        <w:jc w:val="both"/>
        <w:rPr>
          <w:rFonts w:ascii="Times New Roman" w:hAnsi="Times New Roman" w:cs="Times New Roman"/>
          <w:b/>
          <w:bCs/>
          <w:sz w:val="24"/>
          <w:szCs w:val="24"/>
          <w:lang w:val="en-GB"/>
        </w:rPr>
      </w:pPr>
      <w:r w:rsidRPr="00DA17F0">
        <w:rPr>
          <w:rFonts w:ascii="Times New Roman" w:hAnsi="Times New Roman" w:cs="Times New Roman"/>
          <w:b/>
          <w:bCs/>
          <w:sz w:val="24"/>
          <w:szCs w:val="24"/>
          <w:lang w:val="en-GB"/>
        </w:rPr>
        <w:t xml:space="preserve">Case Studies: Ecological Consequences of Growth </w:t>
      </w:r>
    </w:p>
    <w:p w14:paraId="10F55959" w14:textId="2BBB6587" w:rsidR="00B60B88" w:rsidRPr="00DA17F0" w:rsidRDefault="00B054C0" w:rsidP="00DA17F0">
      <w:pPr>
        <w:spacing w:before="240" w:after="0"/>
        <w:jc w:val="both"/>
        <w:rPr>
          <w:rFonts w:ascii="Times New Roman" w:hAnsi="Times New Roman" w:cs="Times New Roman"/>
          <w:sz w:val="24"/>
          <w:szCs w:val="24"/>
          <w:lang w:val="en-GB"/>
        </w:rPr>
      </w:pPr>
      <w:r w:rsidRPr="00DA17F0">
        <w:rPr>
          <w:rFonts w:ascii="Times New Roman" w:hAnsi="Times New Roman" w:cs="Times New Roman"/>
          <w:sz w:val="24"/>
          <w:szCs w:val="24"/>
          <w:lang w:val="en-GB"/>
        </w:rPr>
        <w:t>This is the environmental consequence of growth that has appeared both in developed and developing nations. In fact, rapid industrialization, urbanization, and deforestation actually caused severe ecological degradation and affected biodiversity and human health. A few case studies are sufficient to show the negative impact of the growth-oriented economic policy.</w:t>
      </w:r>
      <w:r w:rsidR="00B60B88" w:rsidRPr="00DA17F0">
        <w:rPr>
          <w:rFonts w:ascii="Times New Roman" w:hAnsi="Times New Roman" w:cs="Times New Roman"/>
          <w:sz w:val="24"/>
          <w:szCs w:val="24"/>
          <w:lang w:val="en-GB"/>
        </w:rPr>
        <w:t xml:space="preserve"> </w:t>
      </w:r>
      <w:r w:rsidRPr="00DA17F0">
        <w:rPr>
          <w:rFonts w:ascii="Times New Roman" w:hAnsi="Times New Roman" w:cs="Times New Roman"/>
          <w:sz w:val="24"/>
          <w:szCs w:val="24"/>
          <w:lang w:val="en-GB"/>
        </w:rPr>
        <w:t>At the same time, however, this comes at an excellent cost to the environment in China.</w:t>
      </w:r>
    </w:p>
    <w:p w14:paraId="6C7FACF0" w14:textId="4A78A83D" w:rsidR="00B60B88" w:rsidRDefault="00B054C0" w:rsidP="00B60B88">
      <w:pPr>
        <w:spacing w:before="240" w:after="0"/>
        <w:jc w:val="both"/>
        <w:rPr>
          <w:rFonts w:ascii="Times New Roman" w:hAnsi="Times New Roman" w:cs="Times New Roman"/>
          <w:sz w:val="24"/>
          <w:szCs w:val="24"/>
          <w:lang w:val="en-GB"/>
        </w:rPr>
      </w:pPr>
      <w:r w:rsidRPr="001B6D13">
        <w:rPr>
          <w:rFonts w:ascii="Times New Roman" w:hAnsi="Times New Roman" w:cs="Times New Roman"/>
          <w:sz w:val="24"/>
          <w:szCs w:val="24"/>
          <w:lang w:val="en-GB"/>
        </w:rPr>
        <w:lastRenderedPageBreak/>
        <w:t xml:space="preserve">Starting from the 1980s, China has pursued industrial expansion on an unparalleled scale, pulling hundreds of millions of people out of poverty and turning the country into an economic powerhouse. However, such growth has equally resulted in unprecedented environmental degradation, including air and water pollution, deforestation, and desertification. For instance, air pollution in China, mainly emanating from coal-fired power plants and industrial emissions, has reached hazardous levels, contributing to respiratory diseases and premature deaths </w:t>
      </w:r>
      <w:r w:rsidR="00DA17F0">
        <w:rPr>
          <w:rFonts w:ascii="Times New Roman" w:hAnsi="Times New Roman" w:cs="Times New Roman"/>
          <w:sz w:val="24"/>
          <w:szCs w:val="24"/>
          <w:lang w:val="en-GB"/>
        </w:rPr>
        <w:t>(</w:t>
      </w:r>
      <w:r w:rsidRPr="001B6D13">
        <w:rPr>
          <w:rFonts w:ascii="Times New Roman" w:hAnsi="Times New Roman" w:cs="Times New Roman"/>
          <w:sz w:val="24"/>
          <w:szCs w:val="24"/>
          <w:lang w:val="en-GB"/>
        </w:rPr>
        <w:t>Zhang et al., 2018</w:t>
      </w:r>
      <w:r w:rsidR="00DA17F0">
        <w:rPr>
          <w:rFonts w:ascii="Times New Roman" w:hAnsi="Times New Roman" w:cs="Times New Roman"/>
          <w:sz w:val="24"/>
          <w:szCs w:val="24"/>
          <w:lang w:val="en-GB"/>
        </w:rPr>
        <w:t>)</w:t>
      </w:r>
      <w:r w:rsidRPr="001B6D13">
        <w:rPr>
          <w:rFonts w:ascii="Times New Roman" w:hAnsi="Times New Roman" w:cs="Times New Roman"/>
          <w:sz w:val="24"/>
          <w:szCs w:val="24"/>
          <w:lang w:val="en-GB"/>
        </w:rPr>
        <w:t>. The rapid expansion of agriculture and industry has also led to the contamination of water sources, threatening both human health and biodiversity (Liu &amp; Diamond, 2005).</w:t>
      </w:r>
    </w:p>
    <w:p w14:paraId="4B300A3B" w14:textId="294A169A" w:rsidR="00D31E48" w:rsidRPr="001B6D13" w:rsidRDefault="00B054C0" w:rsidP="00B60B88">
      <w:pPr>
        <w:spacing w:before="240" w:after="0"/>
        <w:jc w:val="both"/>
        <w:rPr>
          <w:rFonts w:ascii="Times New Roman" w:hAnsi="Times New Roman" w:cs="Times New Roman"/>
          <w:sz w:val="24"/>
          <w:szCs w:val="24"/>
          <w:lang w:val="en-GB"/>
        </w:rPr>
      </w:pPr>
      <w:r w:rsidRPr="001B6D13">
        <w:rPr>
          <w:rFonts w:ascii="Times New Roman" w:hAnsi="Times New Roman" w:cs="Times New Roman"/>
          <w:sz w:val="24"/>
          <w:szCs w:val="24"/>
          <w:lang w:val="en-GB"/>
        </w:rPr>
        <w:t>Another example of the ecological cost of growth is India. Like China, India has pursued rapid industrialization and urbanization as a means of jump-starting its economic growth and raising living standards.</w:t>
      </w:r>
      <w:r w:rsidR="00B60B88">
        <w:rPr>
          <w:rFonts w:ascii="Times New Roman" w:hAnsi="Times New Roman" w:cs="Times New Roman"/>
          <w:sz w:val="24"/>
          <w:szCs w:val="24"/>
          <w:lang w:val="en-GB"/>
        </w:rPr>
        <w:t xml:space="preserve"> </w:t>
      </w:r>
      <w:r w:rsidRPr="001B6D13">
        <w:rPr>
          <w:rFonts w:ascii="Times New Roman" w:hAnsi="Times New Roman" w:cs="Times New Roman"/>
          <w:sz w:val="24"/>
          <w:szCs w:val="24"/>
          <w:lang w:val="en-GB"/>
        </w:rPr>
        <w:t xml:space="preserve">However, this growth has come at a great cost because it has put immense pressure on the country's natural resources, leading to deforestation, degradation of topsoil, and a decline in water supplies. The expansion of industries and a transport network has contributed to severe air pollution in the country, with cities like Delhi often experiencing hazardous air quality levels (Ghosh, 2019). While this has been largely responsible for industrial development, it has equally meant the clearing of forest and wetland ecosystems with its attendant lost biodiversity and displaced indigenous communities. In no way is the environmental impact of growth limited to the countries of the South. The growth imperative has played its role in the overexploitation of natural resources and degradation of ecosystems in the United States. The extraction of fossil fuels, particularly through techniques like fracking, has caused significant environmental damage, including groundwater contamination, habitat destruction, and the release of methane, a potent greenhouse gas (Howarth, 2014). Similarly, the expansion of industrial agriculture has led to the depletion of soil nutrients, water pollution from agricultural runoff, and the loss of biodiversity due to monoculture farming practices (Foley et al., 2011). The case studies that follow try to shed light on how the growth paradigm cannot coexist with environmental sustainability. The gains made in uncontested economic growth, in total disregard for ecological limits, brought immense environmental destruction and resource depletion. Continued growth-as indicated by the planetary </w:t>
      </w:r>
      <w:r w:rsidR="00DA17F0" w:rsidRPr="001B6D13">
        <w:rPr>
          <w:rFonts w:ascii="Times New Roman" w:hAnsi="Times New Roman" w:cs="Times New Roman"/>
          <w:sz w:val="24"/>
          <w:szCs w:val="24"/>
          <w:lang w:val="en-GB"/>
        </w:rPr>
        <w:t>boundaries’</w:t>
      </w:r>
      <w:r w:rsidRPr="001B6D13">
        <w:rPr>
          <w:rFonts w:ascii="Times New Roman" w:hAnsi="Times New Roman" w:cs="Times New Roman"/>
          <w:sz w:val="24"/>
          <w:szCs w:val="24"/>
          <w:lang w:val="en-GB"/>
        </w:rPr>
        <w:t xml:space="preserve"> framework-will exacerbate these problems with potentially catastrophic implications for both the environment and human societies.</w:t>
      </w:r>
    </w:p>
    <w:p w14:paraId="2630D8E4" w14:textId="77777777" w:rsidR="00B054C0" w:rsidRPr="001B6D13" w:rsidRDefault="00B054C0" w:rsidP="001B6D13">
      <w:pPr>
        <w:jc w:val="both"/>
        <w:rPr>
          <w:rFonts w:ascii="Times New Roman" w:hAnsi="Times New Roman" w:cs="Times New Roman"/>
          <w:sz w:val="24"/>
          <w:szCs w:val="24"/>
          <w:lang w:val="en-GB"/>
        </w:rPr>
      </w:pPr>
    </w:p>
    <w:p w14:paraId="35CFC5BE" w14:textId="04519E2D" w:rsidR="00B054C0" w:rsidRPr="001B6D13" w:rsidRDefault="00B054C0" w:rsidP="001B6D13">
      <w:pPr>
        <w:jc w:val="both"/>
        <w:rPr>
          <w:rFonts w:ascii="Times New Roman" w:hAnsi="Times New Roman" w:cs="Times New Roman"/>
          <w:sz w:val="24"/>
          <w:szCs w:val="24"/>
          <w:lang w:val="en-GB"/>
        </w:rPr>
      </w:pPr>
    </w:p>
    <w:p w14:paraId="0EB98A58" w14:textId="69B3375D" w:rsidR="00B60B88" w:rsidRPr="00B60B88" w:rsidRDefault="00B054C0" w:rsidP="00B60B88">
      <w:pPr>
        <w:pStyle w:val="ListParagraph"/>
        <w:numPr>
          <w:ilvl w:val="0"/>
          <w:numId w:val="1"/>
        </w:numPr>
        <w:jc w:val="both"/>
        <w:rPr>
          <w:rFonts w:ascii="Times New Roman" w:hAnsi="Times New Roman" w:cs="Times New Roman"/>
          <w:b/>
          <w:bCs/>
          <w:sz w:val="28"/>
          <w:szCs w:val="28"/>
          <w:lang w:val="en-GB"/>
        </w:rPr>
      </w:pPr>
      <w:r w:rsidRPr="00B60B88">
        <w:rPr>
          <w:rFonts w:ascii="Times New Roman" w:hAnsi="Times New Roman" w:cs="Times New Roman"/>
          <w:b/>
          <w:bCs/>
          <w:sz w:val="28"/>
          <w:szCs w:val="28"/>
          <w:lang w:val="en-GB"/>
        </w:rPr>
        <w:t>Social Inequality and Growth: The Global Disparity</w:t>
      </w:r>
    </w:p>
    <w:p w14:paraId="1FA3209E" w14:textId="70FBDF9D" w:rsidR="00B054C0" w:rsidRPr="00B60B88" w:rsidRDefault="00B054C0" w:rsidP="00B60B88">
      <w:pPr>
        <w:pStyle w:val="ListParagraph"/>
        <w:numPr>
          <w:ilvl w:val="1"/>
          <w:numId w:val="1"/>
        </w:numPr>
        <w:jc w:val="both"/>
        <w:rPr>
          <w:rFonts w:ascii="Times New Roman" w:hAnsi="Times New Roman" w:cs="Times New Roman"/>
          <w:b/>
          <w:bCs/>
          <w:sz w:val="24"/>
          <w:szCs w:val="24"/>
          <w:lang w:val="en-GB"/>
        </w:rPr>
      </w:pPr>
      <w:r w:rsidRPr="00B60B88">
        <w:rPr>
          <w:rFonts w:ascii="Times New Roman" w:hAnsi="Times New Roman" w:cs="Times New Roman"/>
          <w:b/>
          <w:bCs/>
          <w:sz w:val="24"/>
          <w:szCs w:val="24"/>
          <w:lang w:val="en-GB"/>
        </w:rPr>
        <w:t>Growth and Inequality: A Long-Term Perspective</w:t>
      </w:r>
    </w:p>
    <w:p w14:paraId="62BB0DE2" w14:textId="34904166" w:rsidR="00B054C0" w:rsidRPr="001B6D13" w:rsidRDefault="00B054C0" w:rsidP="001B6D13">
      <w:pPr>
        <w:jc w:val="both"/>
        <w:rPr>
          <w:rFonts w:ascii="Times New Roman" w:hAnsi="Times New Roman" w:cs="Times New Roman"/>
          <w:sz w:val="24"/>
          <w:szCs w:val="24"/>
          <w:lang w:val="en-GB"/>
        </w:rPr>
      </w:pPr>
      <w:r w:rsidRPr="001B6D13">
        <w:rPr>
          <w:rFonts w:ascii="Times New Roman" w:hAnsi="Times New Roman" w:cs="Times New Roman"/>
          <w:sz w:val="24"/>
          <w:szCs w:val="24"/>
          <w:lang w:val="en-GB"/>
        </w:rPr>
        <w:t xml:space="preserve">The relationship between economic growth and inequality has constituted one of the hottest subjects of debates in economic philosophy since time began. Conventional </w:t>
      </w:r>
      <w:r w:rsidRPr="001B6D13">
        <w:rPr>
          <w:rFonts w:ascii="Times New Roman" w:hAnsi="Times New Roman" w:cs="Times New Roman"/>
          <w:sz w:val="24"/>
          <w:szCs w:val="24"/>
          <w:lang w:val="en-GB"/>
        </w:rPr>
        <w:lastRenderedPageBreak/>
        <w:t xml:space="preserve">economic thought, particularly those emanating from the neoclassical school, held that growth created prosperity across all sections of society through some sort of </w:t>
      </w:r>
      <w:r w:rsidR="00DA17F0">
        <w:rPr>
          <w:rFonts w:ascii="Times New Roman" w:hAnsi="Times New Roman" w:cs="Times New Roman"/>
          <w:sz w:val="24"/>
          <w:szCs w:val="24"/>
          <w:lang w:val="en-GB"/>
        </w:rPr>
        <w:t>“</w:t>
      </w:r>
      <w:r w:rsidRPr="001B6D13">
        <w:rPr>
          <w:rFonts w:ascii="Times New Roman" w:hAnsi="Times New Roman" w:cs="Times New Roman"/>
          <w:sz w:val="24"/>
          <w:szCs w:val="24"/>
          <w:lang w:val="en-GB"/>
        </w:rPr>
        <w:t>trickle-down</w:t>
      </w:r>
      <w:r w:rsidR="00DA17F0">
        <w:rPr>
          <w:rFonts w:ascii="Times New Roman" w:hAnsi="Times New Roman" w:cs="Times New Roman"/>
          <w:sz w:val="24"/>
          <w:szCs w:val="24"/>
          <w:lang w:val="en-GB"/>
        </w:rPr>
        <w:t>”</w:t>
      </w:r>
      <w:r w:rsidRPr="001B6D13">
        <w:rPr>
          <w:rFonts w:ascii="Times New Roman" w:hAnsi="Times New Roman" w:cs="Times New Roman"/>
          <w:sz w:val="24"/>
          <w:szCs w:val="24"/>
          <w:lang w:val="en-GB"/>
        </w:rPr>
        <w:t xml:space="preserve"> effect. A number of these are hinged on the ideals of such economists as Simon Kuznets, who postulated that in the course of economic development, income inequality would rise then fall, graphing out a reverse U-shaped curve, often referred to as the </w:t>
      </w:r>
      <w:r w:rsidR="00DA17F0">
        <w:rPr>
          <w:rFonts w:ascii="Times New Roman" w:hAnsi="Times New Roman" w:cs="Times New Roman"/>
          <w:sz w:val="24"/>
          <w:szCs w:val="24"/>
          <w:lang w:val="en-GB"/>
        </w:rPr>
        <w:t>“</w:t>
      </w:r>
      <w:r w:rsidRPr="001B6D13">
        <w:rPr>
          <w:rFonts w:ascii="Times New Roman" w:hAnsi="Times New Roman" w:cs="Times New Roman"/>
          <w:sz w:val="24"/>
          <w:szCs w:val="24"/>
          <w:lang w:val="en-GB"/>
        </w:rPr>
        <w:t>Kuznets Curve</w:t>
      </w:r>
      <w:r w:rsidR="00DA17F0">
        <w:rPr>
          <w:rFonts w:ascii="Times New Roman" w:hAnsi="Times New Roman" w:cs="Times New Roman"/>
          <w:sz w:val="24"/>
          <w:szCs w:val="24"/>
          <w:lang w:val="en-GB"/>
        </w:rPr>
        <w:t>”</w:t>
      </w:r>
      <w:r w:rsidRPr="001B6D13">
        <w:rPr>
          <w:rFonts w:ascii="Times New Roman" w:hAnsi="Times New Roman" w:cs="Times New Roman"/>
          <w:sz w:val="24"/>
          <w:szCs w:val="24"/>
          <w:lang w:val="en-GB"/>
        </w:rPr>
        <w:t xml:space="preserve"> (Kuznets, 1955). According to Kuznets, in the initial stages of industrialization, inequality rises because only a few people, who own the means of production, amass wealth, but as economic growth provides wider access to education, technology, and public services, inequality would decrease of its own accord.</w:t>
      </w:r>
      <w:r w:rsidR="00B60B88">
        <w:rPr>
          <w:rFonts w:ascii="Times New Roman" w:hAnsi="Times New Roman" w:cs="Times New Roman"/>
          <w:sz w:val="24"/>
          <w:szCs w:val="24"/>
          <w:lang w:val="en-GB"/>
        </w:rPr>
        <w:t xml:space="preserve"> </w:t>
      </w:r>
      <w:r w:rsidRPr="001B6D13">
        <w:rPr>
          <w:rFonts w:ascii="Times New Roman" w:hAnsi="Times New Roman" w:cs="Times New Roman"/>
          <w:sz w:val="24"/>
          <w:szCs w:val="24"/>
          <w:lang w:val="en-GB"/>
        </w:rPr>
        <w:t xml:space="preserve">Still, this optimistic narrative is increasingly contradicted by the evidence. On the other hand, probably the most accurate description of post-World War II capitalism, also referred to as the </w:t>
      </w:r>
      <w:r w:rsidR="005159C0">
        <w:rPr>
          <w:rFonts w:ascii="Times New Roman" w:hAnsi="Times New Roman" w:cs="Times New Roman"/>
          <w:sz w:val="24"/>
          <w:szCs w:val="24"/>
          <w:lang w:val="en-GB"/>
        </w:rPr>
        <w:t>“</w:t>
      </w:r>
      <w:r w:rsidRPr="001B6D13">
        <w:rPr>
          <w:rFonts w:ascii="Times New Roman" w:hAnsi="Times New Roman" w:cs="Times New Roman"/>
          <w:sz w:val="24"/>
          <w:szCs w:val="24"/>
          <w:lang w:val="en-GB"/>
        </w:rPr>
        <w:t>Golden Age</w:t>
      </w:r>
      <w:r w:rsidR="005159C0">
        <w:rPr>
          <w:rFonts w:ascii="Times New Roman" w:hAnsi="Times New Roman" w:cs="Times New Roman"/>
          <w:sz w:val="24"/>
          <w:szCs w:val="24"/>
          <w:lang w:val="en-GB"/>
        </w:rPr>
        <w:t>”</w:t>
      </w:r>
      <w:r w:rsidRPr="001B6D13">
        <w:rPr>
          <w:rFonts w:ascii="Times New Roman" w:hAnsi="Times New Roman" w:cs="Times New Roman"/>
          <w:sz w:val="24"/>
          <w:szCs w:val="24"/>
          <w:lang w:val="en-GB"/>
        </w:rPr>
        <w:t>, in fact did demonstrate a decrease in inequality in some Western developed countries when the welfare state grew and redistributive fiscal policy on the part of governments was standard (Piketty, 2013). However, since the 1970s, income inequality has rapidly risen in much of the world, as simultaneously, world economic growth has been slowing down (Piketty, 2014). It surely characterizes the neoliberal turn in economic policy through deregulation, privatization, and tax cuts for the rich. Globalization indeed made tens of millions rise out of poverty in China and India, while at the same time gathering wealth amidst multi-nationals and a global layer of elite, hence increasing the inequalities.</w:t>
      </w:r>
      <w:r w:rsidR="00B60B88">
        <w:rPr>
          <w:rFonts w:ascii="Times New Roman" w:hAnsi="Times New Roman" w:cs="Times New Roman"/>
          <w:sz w:val="24"/>
          <w:szCs w:val="24"/>
          <w:lang w:val="en-GB"/>
        </w:rPr>
        <w:t xml:space="preserve"> </w:t>
      </w:r>
      <w:r w:rsidRPr="001B6D13">
        <w:rPr>
          <w:rFonts w:ascii="Times New Roman" w:hAnsi="Times New Roman" w:cs="Times New Roman"/>
          <w:sz w:val="24"/>
          <w:szCs w:val="24"/>
          <w:lang w:val="en-GB"/>
        </w:rPr>
        <w:t>During the past couple of decades, it has largely lost its credibility.</w:t>
      </w:r>
    </w:p>
    <w:p w14:paraId="2C3EEF2C" w14:textId="2E95797A" w:rsidR="00B054C0" w:rsidRPr="001B6D13" w:rsidRDefault="00B054C0" w:rsidP="001B6D13">
      <w:pPr>
        <w:jc w:val="both"/>
        <w:rPr>
          <w:rFonts w:ascii="Times New Roman" w:hAnsi="Times New Roman" w:cs="Times New Roman"/>
          <w:sz w:val="24"/>
          <w:szCs w:val="24"/>
          <w:lang w:val="en-GB"/>
        </w:rPr>
      </w:pPr>
      <w:r w:rsidRPr="001B6D13">
        <w:rPr>
          <w:rFonts w:ascii="Times New Roman" w:hAnsi="Times New Roman" w:cs="Times New Roman"/>
          <w:sz w:val="24"/>
          <w:szCs w:val="24"/>
          <w:lang w:val="en-GB"/>
        </w:rPr>
        <w:t>Thomas Piketty, in his monumental work Capital in the Twenty-First Century, 2014, shows that inequality does not reduce spontaneously with growth. On the contrary, without deliberate policy intervention-in the absence of which wealth concentrates in the hands of a few-the inequality will keep rising.</w:t>
      </w:r>
      <w:r w:rsidR="005159C0">
        <w:rPr>
          <w:rFonts w:ascii="Times New Roman" w:hAnsi="Times New Roman" w:cs="Times New Roman"/>
          <w:sz w:val="24"/>
          <w:szCs w:val="24"/>
          <w:lang w:val="en-GB"/>
        </w:rPr>
        <w:t xml:space="preserve"> </w:t>
      </w:r>
      <w:r w:rsidRPr="001B6D13">
        <w:rPr>
          <w:rFonts w:ascii="Times New Roman" w:hAnsi="Times New Roman" w:cs="Times New Roman"/>
          <w:sz w:val="24"/>
          <w:szCs w:val="24"/>
          <w:lang w:val="en-GB"/>
        </w:rPr>
        <w:t xml:space="preserve">As Piketty points out, the return on capital-investments, real estate, and other forms of capital-is always larger than the rate of economic growth, meaning those who already have wealth are able to grow that wealth at a faster rate than people who rely only on wages </w:t>
      </w:r>
      <w:r w:rsidR="005159C0">
        <w:rPr>
          <w:rFonts w:ascii="Times New Roman" w:hAnsi="Times New Roman" w:cs="Times New Roman"/>
          <w:sz w:val="24"/>
          <w:szCs w:val="24"/>
          <w:lang w:val="en-GB"/>
        </w:rPr>
        <w:t>(</w:t>
      </w:r>
      <w:r w:rsidRPr="001B6D13">
        <w:rPr>
          <w:rFonts w:ascii="Times New Roman" w:hAnsi="Times New Roman" w:cs="Times New Roman"/>
          <w:sz w:val="24"/>
          <w:szCs w:val="24"/>
          <w:lang w:val="en-GB"/>
        </w:rPr>
        <w:t>Piketty 2014</w:t>
      </w:r>
      <w:r w:rsidR="005159C0">
        <w:rPr>
          <w:rFonts w:ascii="Times New Roman" w:hAnsi="Times New Roman" w:cs="Times New Roman"/>
          <w:sz w:val="24"/>
          <w:szCs w:val="24"/>
          <w:lang w:val="en-GB"/>
        </w:rPr>
        <w:t>)</w:t>
      </w:r>
      <w:r w:rsidRPr="001B6D13">
        <w:rPr>
          <w:rFonts w:ascii="Times New Roman" w:hAnsi="Times New Roman" w:cs="Times New Roman"/>
          <w:sz w:val="24"/>
          <w:szCs w:val="24"/>
          <w:lang w:val="en-GB"/>
        </w:rPr>
        <w:t>.</w:t>
      </w:r>
    </w:p>
    <w:p w14:paraId="056A3385" w14:textId="77777777" w:rsidR="00B054C0" w:rsidRPr="001B6D13" w:rsidRDefault="00B054C0" w:rsidP="001B6D13">
      <w:pPr>
        <w:jc w:val="both"/>
        <w:rPr>
          <w:rFonts w:ascii="Times New Roman" w:hAnsi="Times New Roman" w:cs="Times New Roman"/>
          <w:sz w:val="24"/>
          <w:szCs w:val="24"/>
          <w:lang w:val="en-GB"/>
        </w:rPr>
      </w:pPr>
    </w:p>
    <w:p w14:paraId="33B05919" w14:textId="0F56F471" w:rsidR="00B60B88" w:rsidRPr="00B60B88" w:rsidRDefault="00B054C0" w:rsidP="00B60B88">
      <w:pPr>
        <w:pStyle w:val="ListParagraph"/>
        <w:numPr>
          <w:ilvl w:val="1"/>
          <w:numId w:val="1"/>
        </w:numPr>
        <w:jc w:val="both"/>
        <w:rPr>
          <w:rFonts w:ascii="Times New Roman" w:hAnsi="Times New Roman" w:cs="Times New Roman"/>
          <w:b/>
          <w:bCs/>
          <w:sz w:val="24"/>
          <w:szCs w:val="24"/>
          <w:lang w:val="en-GB"/>
        </w:rPr>
      </w:pPr>
      <w:r w:rsidRPr="00B60B88">
        <w:rPr>
          <w:rFonts w:ascii="Times New Roman" w:hAnsi="Times New Roman" w:cs="Times New Roman"/>
          <w:b/>
          <w:bCs/>
          <w:sz w:val="24"/>
          <w:szCs w:val="24"/>
          <w:lang w:val="en-GB"/>
        </w:rPr>
        <w:t xml:space="preserve">The Uneven Distribution of Economic Growth </w:t>
      </w:r>
    </w:p>
    <w:p w14:paraId="1B120CE3" w14:textId="64ABA2AE" w:rsidR="00B054C0" w:rsidRPr="001B6D13" w:rsidRDefault="00B054C0" w:rsidP="001B6D13">
      <w:pPr>
        <w:jc w:val="both"/>
        <w:rPr>
          <w:rFonts w:ascii="Times New Roman" w:hAnsi="Times New Roman" w:cs="Times New Roman"/>
          <w:sz w:val="24"/>
          <w:szCs w:val="24"/>
          <w:lang w:val="en-GB"/>
        </w:rPr>
      </w:pPr>
      <w:r w:rsidRPr="00B60B88">
        <w:rPr>
          <w:rFonts w:ascii="Times New Roman" w:hAnsi="Times New Roman" w:cs="Times New Roman"/>
          <w:sz w:val="24"/>
          <w:szCs w:val="24"/>
          <w:lang w:val="en-GB"/>
        </w:rPr>
        <w:t xml:space="preserve">Economic growth has always been partial, benefiting only certain regions, industries, and social classes at the expense of others. There is little doubt that globalization and industrialization have raised the standard of living for most parts of the world, yet both have concurrently increased inequality within and among nations. Growth is distributed in a very lopsided way, and this trickles down mostly to the richest sections of society, leaving the margins behind. This has implications for how financial capitalism, in its growth, and the related concentration of wealth among the corporate elites have had unparalleled effects on inequality in the Global North. For example, while the income for the top 1% earners in the United States has grown exponentially, wage growth for the </w:t>
      </w:r>
      <w:r w:rsidRPr="00B60B88">
        <w:rPr>
          <w:rFonts w:ascii="Times New Roman" w:hAnsi="Times New Roman" w:cs="Times New Roman"/>
          <w:sz w:val="24"/>
          <w:szCs w:val="24"/>
          <w:lang w:val="en-GB"/>
        </w:rPr>
        <w:lastRenderedPageBreak/>
        <w:t xml:space="preserve">middle and lower classes has been stunted (Saez &amp; Zucman, 2016). Inequality keeps on growing, manifested not only in income disparity but in the inequality of wealth because a small group of people and corporations keep to themselves an immense amount of world capital. Accordingly, Oxfam </w:t>
      </w:r>
      <w:r w:rsidR="005159C0">
        <w:rPr>
          <w:rFonts w:ascii="Times New Roman" w:hAnsi="Times New Roman" w:cs="Times New Roman"/>
          <w:sz w:val="24"/>
          <w:szCs w:val="24"/>
          <w:lang w:val="en-GB"/>
        </w:rPr>
        <w:t>(</w:t>
      </w:r>
      <w:r w:rsidR="005159C0" w:rsidRPr="00B60B88">
        <w:rPr>
          <w:rFonts w:ascii="Times New Roman" w:hAnsi="Times New Roman" w:cs="Times New Roman"/>
          <w:sz w:val="24"/>
          <w:szCs w:val="24"/>
          <w:lang w:val="en-GB"/>
        </w:rPr>
        <w:t>2020</w:t>
      </w:r>
      <w:r w:rsidR="005159C0">
        <w:rPr>
          <w:rFonts w:ascii="Times New Roman" w:hAnsi="Times New Roman" w:cs="Times New Roman"/>
          <w:sz w:val="24"/>
          <w:szCs w:val="24"/>
          <w:lang w:val="en-GB"/>
        </w:rPr>
        <w:t xml:space="preserve">) </w:t>
      </w:r>
      <w:r w:rsidRPr="00B60B88">
        <w:rPr>
          <w:rFonts w:ascii="Times New Roman" w:hAnsi="Times New Roman" w:cs="Times New Roman"/>
          <w:sz w:val="24"/>
          <w:szCs w:val="24"/>
          <w:lang w:val="en-GB"/>
        </w:rPr>
        <w:t>reported that the richest 1% in the world had more wealth than the combined total wealth of 6.9 billion people.</w:t>
      </w:r>
      <w:r w:rsidR="00B60B88">
        <w:rPr>
          <w:rFonts w:ascii="Times New Roman" w:hAnsi="Times New Roman" w:cs="Times New Roman"/>
          <w:sz w:val="24"/>
          <w:szCs w:val="24"/>
          <w:lang w:val="en-GB"/>
        </w:rPr>
        <w:t xml:space="preserve"> </w:t>
      </w:r>
      <w:r w:rsidRPr="001B6D13">
        <w:rPr>
          <w:rFonts w:ascii="Times New Roman" w:hAnsi="Times New Roman" w:cs="Times New Roman"/>
          <w:sz w:val="24"/>
          <w:szCs w:val="24"/>
          <w:lang w:val="en-GB"/>
        </w:rPr>
        <w:t>While the rich North was benefited, the poor Global South became the victim of such growth-oriented globalization.</w:t>
      </w:r>
    </w:p>
    <w:p w14:paraId="4EB0E2FC" w14:textId="57C87669" w:rsidR="00B054C0" w:rsidRPr="001B6D13" w:rsidRDefault="00B054C0" w:rsidP="001B6D13">
      <w:pPr>
        <w:jc w:val="both"/>
        <w:rPr>
          <w:rFonts w:ascii="Times New Roman" w:hAnsi="Times New Roman" w:cs="Times New Roman"/>
          <w:sz w:val="24"/>
          <w:szCs w:val="24"/>
          <w:lang w:val="en-GB"/>
        </w:rPr>
      </w:pPr>
      <w:r w:rsidRPr="001B6D13">
        <w:rPr>
          <w:rFonts w:ascii="Times New Roman" w:hAnsi="Times New Roman" w:cs="Times New Roman"/>
          <w:sz w:val="24"/>
          <w:szCs w:val="24"/>
          <w:lang w:val="en-GB"/>
        </w:rPr>
        <w:t>These latter processes have resulted in rapid economic growth and poverty reduction within countries such as China and India, while in others, fewer results are realized. For example, economic growth within Sub-Saharan Africa has been largely uneven and often unsustainable, with its high rates of growth captured by resource extraction industries that fail to provide benefits to the masses in their value added (Martinez-Alier, 2002).</w:t>
      </w:r>
      <w:r w:rsidR="00B60B88">
        <w:rPr>
          <w:rFonts w:ascii="Times New Roman" w:hAnsi="Times New Roman" w:cs="Times New Roman"/>
          <w:sz w:val="24"/>
          <w:szCs w:val="24"/>
          <w:lang w:val="en-GB"/>
        </w:rPr>
        <w:t xml:space="preserve"> </w:t>
      </w:r>
      <w:r w:rsidRPr="001B6D13">
        <w:rPr>
          <w:rFonts w:ascii="Times New Roman" w:hAnsi="Times New Roman" w:cs="Times New Roman"/>
          <w:sz w:val="24"/>
          <w:szCs w:val="24"/>
          <w:lang w:val="en-GB"/>
        </w:rPr>
        <w:t>It is a fact that such a region, typically, relies so much on the exportation of primary commodities, very vulnerable to world commodity price changes, and mostly trapped into poverty.</w:t>
      </w:r>
    </w:p>
    <w:p w14:paraId="29ED286F" w14:textId="77777777" w:rsidR="00B60B88" w:rsidRDefault="00B054C0" w:rsidP="001B6D13">
      <w:pPr>
        <w:jc w:val="both"/>
        <w:rPr>
          <w:rFonts w:ascii="Times New Roman" w:hAnsi="Times New Roman" w:cs="Times New Roman"/>
          <w:sz w:val="24"/>
          <w:szCs w:val="24"/>
          <w:lang w:val="en-GB"/>
        </w:rPr>
      </w:pPr>
      <w:r w:rsidRPr="001B6D13">
        <w:rPr>
          <w:rFonts w:ascii="Times New Roman" w:hAnsi="Times New Roman" w:cs="Times New Roman"/>
          <w:sz w:val="24"/>
          <w:szCs w:val="24"/>
          <w:lang w:val="en-GB"/>
        </w:rPr>
        <w:t>But the Latin American case well illustrates how such growth was unequal in its benefit. Whereas a number of countries of the region, such as Brazil and Argentina, post fast economic growth with the advent of industrialization, most of the time it was concurrently accompanied by rising inequality and degradation of the environment. In the case of Brazil, growth during the late 20th century was driven by the expansion of agriculture and resource extraction, leading to deforestation in the Amazon and displacement of indigenous communities (</w:t>
      </w:r>
      <w:proofErr w:type="spellStart"/>
      <w:r w:rsidRPr="001B6D13">
        <w:rPr>
          <w:rFonts w:ascii="Times New Roman" w:hAnsi="Times New Roman" w:cs="Times New Roman"/>
          <w:sz w:val="24"/>
          <w:szCs w:val="24"/>
          <w:lang w:val="en-GB"/>
        </w:rPr>
        <w:t>Gudynas</w:t>
      </w:r>
      <w:proofErr w:type="spellEnd"/>
      <w:r w:rsidRPr="001B6D13">
        <w:rPr>
          <w:rFonts w:ascii="Times New Roman" w:hAnsi="Times New Roman" w:cs="Times New Roman"/>
          <w:sz w:val="24"/>
          <w:szCs w:val="24"/>
          <w:lang w:val="en-GB"/>
        </w:rPr>
        <w:t>, 2011). While economic growth created wealth for landowners and multinational corporations, it exacerbated poverty and inequality for marginalized populations. Besides, economic growth in the Global South often comes with environmental degradation, which tends to be very expensive for poor communities. Industrial growth brings about pollution, deforestation, and depletion of natural resources, thus undermining the livelihoods of those depending on subsistence farming, fishing, and other natural resource-based economies (</w:t>
      </w:r>
      <w:proofErr w:type="spellStart"/>
      <w:r w:rsidRPr="001B6D13">
        <w:rPr>
          <w:rFonts w:ascii="Times New Roman" w:hAnsi="Times New Roman" w:cs="Times New Roman"/>
          <w:sz w:val="24"/>
          <w:szCs w:val="24"/>
          <w:lang w:val="en-GB"/>
        </w:rPr>
        <w:t>Gudynas</w:t>
      </w:r>
      <w:proofErr w:type="spellEnd"/>
      <w:r w:rsidRPr="001B6D13">
        <w:rPr>
          <w:rFonts w:ascii="Times New Roman" w:hAnsi="Times New Roman" w:cs="Times New Roman"/>
          <w:sz w:val="24"/>
          <w:szCs w:val="24"/>
          <w:lang w:val="en-GB"/>
        </w:rPr>
        <w:t xml:space="preserve">, 2011). These environmental costs seldom, if ever, reduce the pockets of the wealthy elite benefiting from such industrialization but are borne disproportionately by poor and indigenous communities. </w:t>
      </w:r>
    </w:p>
    <w:p w14:paraId="34A6A8FF" w14:textId="77777777" w:rsidR="00B60B88" w:rsidRDefault="00B60B88" w:rsidP="001B6D13">
      <w:pPr>
        <w:jc w:val="both"/>
        <w:rPr>
          <w:rFonts w:ascii="Times New Roman" w:hAnsi="Times New Roman" w:cs="Times New Roman"/>
          <w:sz w:val="24"/>
          <w:szCs w:val="24"/>
          <w:lang w:val="en-GB"/>
        </w:rPr>
      </w:pPr>
    </w:p>
    <w:p w14:paraId="2C5B4E8C" w14:textId="45E11AE3" w:rsidR="00B60B88" w:rsidRPr="00B60B88" w:rsidRDefault="00B054C0" w:rsidP="00B60B88">
      <w:pPr>
        <w:pStyle w:val="ListParagraph"/>
        <w:numPr>
          <w:ilvl w:val="1"/>
          <w:numId w:val="1"/>
        </w:numPr>
        <w:jc w:val="both"/>
        <w:rPr>
          <w:rFonts w:ascii="Times New Roman" w:hAnsi="Times New Roman" w:cs="Times New Roman"/>
          <w:b/>
          <w:bCs/>
          <w:sz w:val="24"/>
          <w:szCs w:val="24"/>
          <w:lang w:val="en-GB"/>
        </w:rPr>
      </w:pPr>
      <w:r w:rsidRPr="00B60B88">
        <w:rPr>
          <w:rFonts w:ascii="Times New Roman" w:hAnsi="Times New Roman" w:cs="Times New Roman"/>
          <w:b/>
          <w:bCs/>
          <w:sz w:val="24"/>
          <w:szCs w:val="24"/>
          <w:lang w:val="en-GB"/>
        </w:rPr>
        <w:t xml:space="preserve">Global South versus Global North: Issues of Economic and Ecological Justice </w:t>
      </w:r>
    </w:p>
    <w:p w14:paraId="5AB33FC9" w14:textId="1190A02E" w:rsidR="00B054C0" w:rsidRPr="001B6D13" w:rsidRDefault="00B054C0" w:rsidP="001B6D13">
      <w:pPr>
        <w:jc w:val="both"/>
        <w:rPr>
          <w:rFonts w:ascii="Times New Roman" w:hAnsi="Times New Roman" w:cs="Times New Roman"/>
          <w:sz w:val="24"/>
          <w:szCs w:val="24"/>
          <w:lang w:val="en-GB"/>
        </w:rPr>
      </w:pPr>
      <w:r w:rsidRPr="00B60B88">
        <w:rPr>
          <w:rFonts w:ascii="Times New Roman" w:hAnsi="Times New Roman" w:cs="Times New Roman"/>
          <w:sz w:val="24"/>
          <w:szCs w:val="24"/>
          <w:lang w:val="en-GB"/>
        </w:rPr>
        <w:t xml:space="preserve">The divergence between Global North and Global South does not stop with income inequality. There is also an important environmental justice aspect to the nexus between growth and inequality. The Global North, comprising those who are considered the richest industrialized nations in the world, has traditionally been responsible for the greatest amount of carbon emissions and degradation of the environment, but the Global South is suffering disproportionately from those actions (Martinez-Alier, 2002). It is, however, </w:t>
      </w:r>
      <w:r w:rsidRPr="00B60B88">
        <w:rPr>
          <w:rFonts w:ascii="Times New Roman" w:hAnsi="Times New Roman" w:cs="Times New Roman"/>
          <w:sz w:val="24"/>
          <w:szCs w:val="24"/>
          <w:lang w:val="en-GB"/>
        </w:rPr>
        <w:lastRenderedPageBreak/>
        <w:t>caused basically by the green gas emission from the side of the industrialized nations, which turns it to be a terribly hitting factor in the developing nations, especially Sub-Saharan Africa, South Asia, and the Pacific Islands.</w:t>
      </w:r>
      <w:r w:rsidR="00464572">
        <w:rPr>
          <w:rFonts w:ascii="Times New Roman" w:hAnsi="Times New Roman" w:cs="Times New Roman"/>
          <w:sz w:val="24"/>
          <w:szCs w:val="24"/>
          <w:lang w:val="en-GB"/>
        </w:rPr>
        <w:t xml:space="preserve"> </w:t>
      </w:r>
      <w:r w:rsidRPr="001B6D13">
        <w:rPr>
          <w:rFonts w:ascii="Times New Roman" w:hAnsi="Times New Roman" w:cs="Times New Roman"/>
          <w:sz w:val="24"/>
          <w:szCs w:val="24"/>
          <w:lang w:val="en-GB"/>
        </w:rPr>
        <w:t>These areas, he said, are a habitat to some of the most dangerous manifestations of changing climate: sea-level rise, increased prevalence and intensity of storms, droughts, and food insecurity. Yet, those hit hardest by such changes were often the very populations that had least contributed to the problem. This is symptomatic of an entrenched injustice at the heart of the world economic system: the growth benefit is flowing northwards, while the adverse environmental costs are falling more heavily on the South (Pellow, 2018).</w:t>
      </w:r>
      <w:r w:rsidR="00B60B88">
        <w:rPr>
          <w:rFonts w:ascii="Times New Roman" w:hAnsi="Times New Roman" w:cs="Times New Roman"/>
          <w:sz w:val="24"/>
          <w:szCs w:val="24"/>
          <w:lang w:val="en-GB"/>
        </w:rPr>
        <w:t xml:space="preserve"> </w:t>
      </w:r>
      <w:r w:rsidRPr="001B6D13">
        <w:rPr>
          <w:rFonts w:ascii="Times New Roman" w:hAnsi="Times New Roman" w:cs="Times New Roman"/>
          <w:sz w:val="24"/>
          <w:szCs w:val="24"/>
          <w:lang w:val="en-GB"/>
        </w:rPr>
        <w:t>This is farther brought about by the concept of ecological debt.</w:t>
      </w:r>
    </w:p>
    <w:p w14:paraId="502DB151" w14:textId="584A7483" w:rsidR="00B60B88" w:rsidRDefault="00B054C0" w:rsidP="001B6D13">
      <w:pPr>
        <w:jc w:val="both"/>
        <w:rPr>
          <w:rFonts w:ascii="Times New Roman" w:hAnsi="Times New Roman" w:cs="Times New Roman"/>
          <w:sz w:val="24"/>
          <w:szCs w:val="24"/>
          <w:lang w:val="en-GB"/>
        </w:rPr>
      </w:pPr>
      <w:r w:rsidRPr="001B6D13">
        <w:rPr>
          <w:rFonts w:ascii="Times New Roman" w:hAnsi="Times New Roman" w:cs="Times New Roman"/>
          <w:sz w:val="24"/>
          <w:szCs w:val="24"/>
          <w:lang w:val="en-GB"/>
        </w:rPr>
        <w:t xml:space="preserve">The ecological debt is embodied in the overall accumulated environmental impacts created by and disproportionately suffered within the rich and poor nations, respectively. The industrialized North has continuously colonized or </w:t>
      </w:r>
      <w:r w:rsidR="00464572" w:rsidRPr="001B6D13">
        <w:rPr>
          <w:rFonts w:ascii="Times New Roman" w:hAnsi="Times New Roman" w:cs="Times New Roman"/>
          <w:sz w:val="24"/>
          <w:szCs w:val="24"/>
          <w:lang w:val="en-GB"/>
        </w:rPr>
        <w:t>neo colonized</w:t>
      </w:r>
      <w:r w:rsidRPr="001B6D13">
        <w:rPr>
          <w:rFonts w:ascii="Times New Roman" w:hAnsi="Times New Roman" w:cs="Times New Roman"/>
          <w:sz w:val="24"/>
          <w:szCs w:val="24"/>
          <w:lang w:val="en-GB"/>
        </w:rPr>
        <w:t xml:space="preserve"> the Global South since the period of colonial occupation, using their raw materials as fuel for their development and leaving these exploited countries filled with destruction (Martinez-Alier 2002). The Global South remains the victim of environmental degradation today despite its minimal contribution to global emission and environmental degradation. Meanwhile, the economic growth for the Global North is very much plugged into the extraction of cheap </w:t>
      </w:r>
      <w:r w:rsidR="00CE10A1" w:rsidRPr="001B6D13">
        <w:rPr>
          <w:rFonts w:ascii="Times New Roman" w:hAnsi="Times New Roman" w:cs="Times New Roman"/>
          <w:sz w:val="24"/>
          <w:szCs w:val="24"/>
          <w:lang w:val="en-GB"/>
        </w:rPr>
        <w:t>labour</w:t>
      </w:r>
      <w:r w:rsidRPr="001B6D13">
        <w:rPr>
          <w:rFonts w:ascii="Times New Roman" w:hAnsi="Times New Roman" w:cs="Times New Roman"/>
          <w:sz w:val="24"/>
          <w:szCs w:val="24"/>
          <w:lang w:val="en-GB"/>
        </w:rPr>
        <w:t xml:space="preserve"> and resources of the Global South. The result is a world economic system in which, quite literally, the wealth of the North has been built upon the backs of the poor of the South. Through outsourcing, multinationals move their production to regions with low wages and lax environmental standards that keep working conditions unsafe and the environment degraded. While consumers in the Global North receive the advantages of cheap commodities, the workers in the Global South are left with </w:t>
      </w:r>
      <w:r w:rsidR="00464572">
        <w:rPr>
          <w:rFonts w:ascii="Times New Roman" w:hAnsi="Times New Roman" w:cs="Times New Roman"/>
          <w:sz w:val="24"/>
          <w:szCs w:val="24"/>
          <w:lang w:val="en-GB"/>
        </w:rPr>
        <w:t>“</w:t>
      </w:r>
      <w:r w:rsidRPr="001B6D13">
        <w:rPr>
          <w:rFonts w:ascii="Times New Roman" w:hAnsi="Times New Roman" w:cs="Times New Roman"/>
          <w:sz w:val="24"/>
          <w:szCs w:val="24"/>
          <w:lang w:val="en-GB"/>
        </w:rPr>
        <w:t>low wage, unsafe working conditions, and ecological poisoning</w:t>
      </w:r>
      <w:r w:rsidR="00464572">
        <w:rPr>
          <w:rFonts w:ascii="Times New Roman" w:hAnsi="Times New Roman" w:cs="Times New Roman"/>
          <w:sz w:val="24"/>
          <w:szCs w:val="24"/>
          <w:lang w:val="en-GB"/>
        </w:rPr>
        <w:t>”</w:t>
      </w:r>
      <w:r w:rsidRPr="001B6D13">
        <w:rPr>
          <w:rFonts w:ascii="Times New Roman" w:hAnsi="Times New Roman" w:cs="Times New Roman"/>
          <w:sz w:val="24"/>
          <w:szCs w:val="24"/>
          <w:lang w:val="en-GB"/>
        </w:rPr>
        <w:t xml:space="preserve"> (Harvey, 2005). This dynamic, therefore, encompasses all but everything that is wrong with the growth paradigm: most evidently, economic growth-that which has been perpetuated through neoliberalism-is globally increasing inequalities economically and environmentally. The economic system of the world, as mediated through growth, tends to be self-perpetuating with regards to concentrated wealth and resource allocation in the Global North at the expense of environmental and social degradation in the Global South.</w:t>
      </w:r>
    </w:p>
    <w:p w14:paraId="0755EA53" w14:textId="77777777" w:rsidR="00B60B88" w:rsidRDefault="00B60B88" w:rsidP="001B6D13">
      <w:pPr>
        <w:jc w:val="both"/>
        <w:rPr>
          <w:rFonts w:ascii="Times New Roman" w:hAnsi="Times New Roman" w:cs="Times New Roman"/>
          <w:sz w:val="24"/>
          <w:szCs w:val="24"/>
          <w:lang w:val="en-GB"/>
        </w:rPr>
      </w:pPr>
    </w:p>
    <w:p w14:paraId="72483ED5" w14:textId="77777777" w:rsidR="00B60B88" w:rsidRDefault="00B60B88" w:rsidP="001B6D13">
      <w:pPr>
        <w:jc w:val="both"/>
        <w:rPr>
          <w:rFonts w:ascii="Times New Roman" w:hAnsi="Times New Roman" w:cs="Times New Roman"/>
          <w:sz w:val="24"/>
          <w:szCs w:val="24"/>
          <w:lang w:val="en-GB"/>
        </w:rPr>
      </w:pPr>
    </w:p>
    <w:p w14:paraId="0288831F" w14:textId="5C121E74" w:rsidR="00B60B88" w:rsidRPr="00B60B88" w:rsidRDefault="00AF2D2F" w:rsidP="00B60B88">
      <w:pPr>
        <w:pStyle w:val="ListParagraph"/>
        <w:numPr>
          <w:ilvl w:val="0"/>
          <w:numId w:val="1"/>
        </w:numPr>
        <w:jc w:val="both"/>
        <w:rPr>
          <w:rFonts w:ascii="Times New Roman" w:hAnsi="Times New Roman" w:cs="Times New Roman"/>
          <w:b/>
          <w:bCs/>
          <w:sz w:val="28"/>
          <w:szCs w:val="28"/>
          <w:lang w:val="en-GB"/>
        </w:rPr>
      </w:pPr>
      <w:r w:rsidRPr="00B60B88">
        <w:rPr>
          <w:rFonts w:ascii="Times New Roman" w:hAnsi="Times New Roman" w:cs="Times New Roman"/>
          <w:b/>
          <w:bCs/>
          <w:sz w:val="28"/>
          <w:szCs w:val="28"/>
          <w:lang w:val="en-GB"/>
        </w:rPr>
        <w:t>Degrowth - an Alternative to Unlimited Growth</w:t>
      </w:r>
    </w:p>
    <w:p w14:paraId="374AC0BE" w14:textId="7687D455" w:rsidR="00AF2D2F" w:rsidRPr="00B60B88" w:rsidRDefault="00AF2D2F" w:rsidP="00B60B88">
      <w:pPr>
        <w:pStyle w:val="ListParagraph"/>
        <w:numPr>
          <w:ilvl w:val="1"/>
          <w:numId w:val="1"/>
        </w:numPr>
        <w:jc w:val="both"/>
        <w:rPr>
          <w:rFonts w:ascii="Times New Roman" w:hAnsi="Times New Roman" w:cs="Times New Roman"/>
          <w:b/>
          <w:bCs/>
          <w:sz w:val="24"/>
          <w:szCs w:val="24"/>
          <w:lang w:val="en-GB"/>
        </w:rPr>
      </w:pPr>
      <w:r w:rsidRPr="00B60B88">
        <w:rPr>
          <w:rFonts w:ascii="Times New Roman" w:hAnsi="Times New Roman" w:cs="Times New Roman"/>
          <w:b/>
          <w:bCs/>
          <w:sz w:val="24"/>
          <w:szCs w:val="24"/>
          <w:lang w:val="en-GB"/>
        </w:rPr>
        <w:t>Principles of Degrowth</w:t>
      </w:r>
    </w:p>
    <w:p w14:paraId="49D104B3" w14:textId="77777777" w:rsidR="00AF2D2F" w:rsidRPr="001B6D13" w:rsidRDefault="00AF2D2F" w:rsidP="001B6D13">
      <w:pPr>
        <w:jc w:val="both"/>
        <w:rPr>
          <w:rFonts w:ascii="Times New Roman" w:hAnsi="Times New Roman" w:cs="Times New Roman"/>
          <w:sz w:val="24"/>
          <w:szCs w:val="24"/>
          <w:lang w:val="en-GB"/>
        </w:rPr>
      </w:pPr>
      <w:r w:rsidRPr="001B6D13">
        <w:rPr>
          <w:rFonts w:ascii="Times New Roman" w:hAnsi="Times New Roman" w:cs="Times New Roman"/>
          <w:sz w:val="24"/>
          <w:szCs w:val="24"/>
          <w:lang w:val="en-GB"/>
        </w:rPr>
        <w:t xml:space="preserve">The concept of degrowth gives a fundamental rethinking of economic growth and questions at its very core the assumption that growth itself has some sort of intrinsic value or sustainability. Degrowth does not have anything to do with a decrease in GDP alone </w:t>
      </w:r>
      <w:r w:rsidRPr="001B6D13">
        <w:rPr>
          <w:rFonts w:ascii="Times New Roman" w:hAnsi="Times New Roman" w:cs="Times New Roman"/>
          <w:sz w:val="24"/>
          <w:szCs w:val="24"/>
          <w:lang w:val="en-GB"/>
        </w:rPr>
        <w:lastRenderedPageBreak/>
        <w:t>but is actually a socio-economic, political, and ecological movement for scaling back production and consumption in high-income countries so as to achieve environmental sustainability, social equity, and improvement in well-being (Latouche, 2009).</w:t>
      </w:r>
    </w:p>
    <w:p w14:paraId="1FD0580F" w14:textId="3B649A1C" w:rsidR="00AF2D2F" w:rsidRPr="001B6D13" w:rsidRDefault="00AF2D2F" w:rsidP="001B6D13">
      <w:pPr>
        <w:jc w:val="both"/>
        <w:rPr>
          <w:rFonts w:ascii="Times New Roman" w:hAnsi="Times New Roman" w:cs="Times New Roman"/>
          <w:sz w:val="24"/>
          <w:szCs w:val="24"/>
          <w:lang w:val="en-GB"/>
        </w:rPr>
      </w:pPr>
      <w:r w:rsidRPr="001B6D13">
        <w:rPr>
          <w:rFonts w:ascii="Times New Roman" w:hAnsi="Times New Roman" w:cs="Times New Roman"/>
          <w:sz w:val="24"/>
          <w:szCs w:val="24"/>
          <w:lang w:val="en-GB"/>
        </w:rPr>
        <w:t>Degrowth basically aims at the root causes of the negative impact brought about by growth-driven capitalism, which prioritize profit and GDP growth at the expense of the environment and social justice. It argues that continuous economic expansion is fundamentally incompatible with the finite ecological limits of our planet and that scaling back economic activity-especially in the most affluent nations-is essential in reducing environmental destruction and dealing with global inequality (Kallis</w:t>
      </w:r>
      <w:r w:rsidR="00464572">
        <w:rPr>
          <w:rFonts w:ascii="Times New Roman" w:hAnsi="Times New Roman" w:cs="Times New Roman"/>
          <w:sz w:val="24"/>
          <w:szCs w:val="24"/>
          <w:lang w:val="en-GB"/>
        </w:rPr>
        <w:t>,</w:t>
      </w:r>
      <w:r w:rsidRPr="001B6D13">
        <w:rPr>
          <w:rFonts w:ascii="Times New Roman" w:hAnsi="Times New Roman" w:cs="Times New Roman"/>
          <w:sz w:val="24"/>
          <w:szCs w:val="24"/>
          <w:lang w:val="en-GB"/>
        </w:rPr>
        <w:t xml:space="preserve"> 2011). Degrowth advocates for a shift away from material accumulation as a measure of progress and towards more holistic goals, such as human well-being, community resilience, and ecological balance (</w:t>
      </w:r>
      <w:proofErr w:type="spellStart"/>
      <w:r w:rsidRPr="001B6D13">
        <w:rPr>
          <w:rFonts w:ascii="Times New Roman" w:hAnsi="Times New Roman" w:cs="Times New Roman"/>
          <w:sz w:val="24"/>
          <w:szCs w:val="24"/>
          <w:lang w:val="en-GB"/>
        </w:rPr>
        <w:t>D’Alisa</w:t>
      </w:r>
      <w:proofErr w:type="spellEnd"/>
      <w:r w:rsidRPr="001B6D13">
        <w:rPr>
          <w:rFonts w:ascii="Times New Roman" w:hAnsi="Times New Roman" w:cs="Times New Roman"/>
          <w:sz w:val="24"/>
          <w:szCs w:val="24"/>
          <w:lang w:val="en-GB"/>
        </w:rPr>
        <w:t>, Demaria, &amp; Kallis, 2014).</w:t>
      </w:r>
    </w:p>
    <w:p w14:paraId="16CF0B99" w14:textId="713D85DE" w:rsidR="00AF2D2F" w:rsidRPr="001B6D13" w:rsidRDefault="00AF2D2F" w:rsidP="001B6D13">
      <w:pPr>
        <w:jc w:val="both"/>
        <w:rPr>
          <w:rFonts w:ascii="Times New Roman" w:hAnsi="Times New Roman" w:cs="Times New Roman"/>
          <w:sz w:val="24"/>
          <w:szCs w:val="24"/>
          <w:lang w:val="en-GB"/>
        </w:rPr>
      </w:pPr>
    </w:p>
    <w:p w14:paraId="397B5249" w14:textId="1779CE04" w:rsidR="00AF2D2F" w:rsidRPr="00B60B88" w:rsidRDefault="00AF2D2F" w:rsidP="001B6D13">
      <w:pPr>
        <w:pStyle w:val="ListParagraph"/>
        <w:numPr>
          <w:ilvl w:val="1"/>
          <w:numId w:val="1"/>
        </w:numPr>
        <w:jc w:val="both"/>
        <w:rPr>
          <w:rFonts w:ascii="Times New Roman" w:hAnsi="Times New Roman" w:cs="Times New Roman"/>
          <w:b/>
          <w:bCs/>
          <w:sz w:val="24"/>
          <w:szCs w:val="24"/>
          <w:lang w:val="en-GB"/>
        </w:rPr>
      </w:pPr>
      <w:r w:rsidRPr="00B60B88">
        <w:rPr>
          <w:rFonts w:ascii="Times New Roman" w:hAnsi="Times New Roman" w:cs="Times New Roman"/>
          <w:b/>
          <w:bCs/>
          <w:sz w:val="24"/>
          <w:szCs w:val="24"/>
          <w:lang w:val="en-GB"/>
        </w:rPr>
        <w:t>Implementing Degrowth: Case Studies and Policy Proposals</w:t>
      </w:r>
    </w:p>
    <w:p w14:paraId="4B1092A3" w14:textId="77777777" w:rsidR="00AF2D2F" w:rsidRPr="001B6D13" w:rsidRDefault="00AF2D2F" w:rsidP="001B6D13">
      <w:pPr>
        <w:jc w:val="both"/>
        <w:rPr>
          <w:rFonts w:ascii="Times New Roman" w:hAnsi="Times New Roman" w:cs="Times New Roman"/>
          <w:sz w:val="24"/>
          <w:szCs w:val="24"/>
          <w:lang w:val="en-GB"/>
        </w:rPr>
      </w:pPr>
      <w:r w:rsidRPr="00464572">
        <w:rPr>
          <w:rFonts w:ascii="Times New Roman" w:hAnsi="Times New Roman" w:cs="Times New Roman"/>
          <w:b/>
          <w:bCs/>
          <w:i/>
          <w:iCs/>
          <w:sz w:val="24"/>
          <w:szCs w:val="24"/>
          <w:lang w:val="en-GB"/>
        </w:rPr>
        <w:t>Degrowth in Practice:</w:t>
      </w:r>
      <w:r w:rsidRPr="001B6D13">
        <w:rPr>
          <w:rFonts w:ascii="Times New Roman" w:hAnsi="Times New Roman" w:cs="Times New Roman"/>
          <w:sz w:val="24"/>
          <w:szCs w:val="24"/>
          <w:lang w:val="en-GB"/>
        </w:rPr>
        <w:t xml:space="preserve"> Although most people misunderstand it as a return to a pre-industrial way of living, in its romanticized meaning, or anti-modernism, manifold examples prove quite the opposite: degrowth can go together with technological innovation, an improvement of standards of living, and environmental care. Several regions, cities, and communities are testing the principles of degrowth, which, first of all, offers new approaches toward governance, resource use, and social well-being. Barcelona and Urban Degrowth: Barcelona, Spain, is an illustrative case of urban degrowth in action. In response to rising pollution levels and concerns over unsustainable urban expansion, the city has implemented policies aimed at reducing car usage, promoting public transport, and increasing urban green spaces (</w:t>
      </w:r>
      <w:proofErr w:type="spellStart"/>
      <w:r w:rsidRPr="001B6D13">
        <w:rPr>
          <w:rFonts w:ascii="Times New Roman" w:hAnsi="Times New Roman" w:cs="Times New Roman"/>
          <w:sz w:val="24"/>
          <w:szCs w:val="24"/>
          <w:lang w:val="en-GB"/>
        </w:rPr>
        <w:t>Anguelovski</w:t>
      </w:r>
      <w:proofErr w:type="spellEnd"/>
      <w:r w:rsidRPr="001B6D13">
        <w:rPr>
          <w:rFonts w:ascii="Times New Roman" w:hAnsi="Times New Roman" w:cs="Times New Roman"/>
          <w:sz w:val="24"/>
          <w:szCs w:val="24"/>
          <w:lang w:val="en-GB"/>
        </w:rPr>
        <w:t xml:space="preserve"> et al., 2018). New developments include "superblocks": a cluster of streets where there will be limited traffic to allow more pedestrian areas and open spaces oriented to the community. This project would add value to living in the locality with increased improvement in emissions and social interaction among people.</w:t>
      </w:r>
    </w:p>
    <w:p w14:paraId="7592DB4E" w14:textId="77777777" w:rsidR="00B60B88" w:rsidRDefault="00B60B88" w:rsidP="001B6D13">
      <w:pPr>
        <w:jc w:val="both"/>
        <w:rPr>
          <w:rFonts w:ascii="Times New Roman" w:hAnsi="Times New Roman" w:cs="Times New Roman"/>
          <w:sz w:val="24"/>
          <w:szCs w:val="24"/>
          <w:lang w:val="en-GB"/>
        </w:rPr>
      </w:pPr>
    </w:p>
    <w:p w14:paraId="3A1A5237" w14:textId="44A7DADB" w:rsidR="00B60B88" w:rsidRPr="00464572" w:rsidRDefault="00AF2D2F" w:rsidP="00B60B88">
      <w:pPr>
        <w:pStyle w:val="ListParagraph"/>
        <w:numPr>
          <w:ilvl w:val="2"/>
          <w:numId w:val="1"/>
        </w:numPr>
        <w:jc w:val="both"/>
        <w:rPr>
          <w:rFonts w:ascii="Times New Roman" w:hAnsi="Times New Roman" w:cs="Times New Roman"/>
          <w:sz w:val="24"/>
          <w:szCs w:val="24"/>
          <w:lang w:val="en-GB"/>
        </w:rPr>
      </w:pPr>
      <w:r w:rsidRPr="00464572">
        <w:rPr>
          <w:rFonts w:ascii="Times New Roman" w:hAnsi="Times New Roman" w:cs="Times New Roman"/>
          <w:sz w:val="24"/>
          <w:szCs w:val="24"/>
          <w:lang w:val="en-GB"/>
        </w:rPr>
        <w:t xml:space="preserve">Bhutan and Gross National Happiness </w:t>
      </w:r>
    </w:p>
    <w:p w14:paraId="17B171A0" w14:textId="1DF4241E" w:rsidR="00AF2D2F" w:rsidRPr="001B6D13" w:rsidRDefault="00AF2D2F" w:rsidP="001B6D13">
      <w:pPr>
        <w:jc w:val="both"/>
        <w:rPr>
          <w:rFonts w:ascii="Times New Roman" w:hAnsi="Times New Roman" w:cs="Times New Roman"/>
          <w:sz w:val="24"/>
          <w:szCs w:val="24"/>
          <w:lang w:val="en-GB"/>
        </w:rPr>
      </w:pPr>
      <w:r w:rsidRPr="001B6D13">
        <w:rPr>
          <w:rFonts w:ascii="Times New Roman" w:hAnsi="Times New Roman" w:cs="Times New Roman"/>
          <w:sz w:val="24"/>
          <w:szCs w:val="24"/>
          <w:lang w:val="en-GB"/>
        </w:rPr>
        <w:t>Probably the other good example is the decision of Bhutanese people to adopt the GNH as a national measure of success over GDP.</w:t>
      </w:r>
    </w:p>
    <w:p w14:paraId="559B1852" w14:textId="77777777" w:rsidR="00AF2D2F" w:rsidRPr="001B6D13" w:rsidRDefault="00AF2D2F" w:rsidP="001B6D13">
      <w:pPr>
        <w:jc w:val="both"/>
        <w:rPr>
          <w:rFonts w:ascii="Times New Roman" w:hAnsi="Times New Roman" w:cs="Times New Roman"/>
          <w:sz w:val="24"/>
          <w:szCs w:val="24"/>
          <w:lang w:val="en-GB"/>
        </w:rPr>
      </w:pPr>
      <w:r w:rsidRPr="001B6D13">
        <w:rPr>
          <w:rFonts w:ascii="Times New Roman" w:hAnsi="Times New Roman" w:cs="Times New Roman"/>
          <w:sz w:val="24"/>
          <w:szCs w:val="24"/>
          <w:lang w:val="en-GB"/>
        </w:rPr>
        <w:t xml:space="preserve">GNH focuses on improving well-being and happiness through sustainable practices, environmental protection, and cultural preservation. Bhutan's policies aim to balance material development with spiritual, social, and environmental well-being, offering a blueprint for how degrowth principles can be integrated into national governance (Ura, </w:t>
      </w:r>
      <w:r w:rsidRPr="001B6D13">
        <w:rPr>
          <w:rFonts w:ascii="Times New Roman" w:hAnsi="Times New Roman" w:cs="Times New Roman"/>
          <w:sz w:val="24"/>
          <w:szCs w:val="24"/>
          <w:lang w:val="en-GB"/>
        </w:rPr>
        <w:lastRenderedPageBreak/>
        <w:t>Alkire, &amp; Zangmo, 2012). The Bhutanese experience demonstrates how decoupling progress from material consumption can foster a more holistic view of human prosperity.</w:t>
      </w:r>
    </w:p>
    <w:p w14:paraId="775C39D1" w14:textId="710F2E43" w:rsidR="00B60B88" w:rsidRDefault="00B60B88" w:rsidP="001B6D13">
      <w:pPr>
        <w:jc w:val="both"/>
        <w:rPr>
          <w:rFonts w:ascii="Times New Roman" w:hAnsi="Times New Roman" w:cs="Times New Roman"/>
          <w:sz w:val="24"/>
          <w:szCs w:val="24"/>
          <w:lang w:val="en-GB"/>
        </w:rPr>
      </w:pPr>
    </w:p>
    <w:p w14:paraId="7922081D" w14:textId="4C51DA3E" w:rsidR="00B60B88" w:rsidRPr="00464572" w:rsidRDefault="00AF2D2F" w:rsidP="00B60B88">
      <w:pPr>
        <w:pStyle w:val="ListParagraph"/>
        <w:numPr>
          <w:ilvl w:val="2"/>
          <w:numId w:val="1"/>
        </w:numPr>
        <w:jc w:val="both"/>
        <w:rPr>
          <w:rFonts w:ascii="Times New Roman" w:hAnsi="Times New Roman" w:cs="Times New Roman"/>
          <w:sz w:val="24"/>
          <w:szCs w:val="24"/>
          <w:lang w:val="en-GB"/>
        </w:rPr>
      </w:pPr>
      <w:r w:rsidRPr="00464572">
        <w:rPr>
          <w:rFonts w:ascii="Times New Roman" w:hAnsi="Times New Roman" w:cs="Times New Roman"/>
          <w:sz w:val="24"/>
          <w:szCs w:val="24"/>
          <w:lang w:val="en-GB"/>
        </w:rPr>
        <w:t>Working Time Reductions-France</w:t>
      </w:r>
    </w:p>
    <w:p w14:paraId="66029A0E" w14:textId="77777777" w:rsidR="00464572" w:rsidRDefault="00AF2D2F" w:rsidP="001B6D13">
      <w:pPr>
        <w:jc w:val="both"/>
        <w:rPr>
          <w:rFonts w:ascii="Times New Roman" w:hAnsi="Times New Roman" w:cs="Times New Roman"/>
          <w:sz w:val="24"/>
          <w:szCs w:val="24"/>
          <w:lang w:val="en-GB"/>
        </w:rPr>
      </w:pPr>
      <w:r w:rsidRPr="001B6D13">
        <w:rPr>
          <w:rFonts w:ascii="Times New Roman" w:hAnsi="Times New Roman" w:cs="Times New Roman"/>
          <w:sz w:val="24"/>
          <w:szCs w:val="24"/>
          <w:lang w:val="en-GB"/>
        </w:rPr>
        <w:t xml:space="preserve">Another example is the reduction to 35 working hours implemented by France in 2000. The rationale for such a reduction to reduce unemployment by equitable sharing of available work so as to improve work-life balance. As debates are still ongoing with regard to its economic impact, some quarters highlight the fact that shorter working hours manage to reduce resource consumption and improve life satisfaction in tune with the degrowth principles, which hold that well-being is more important than economic growth in general </w:t>
      </w:r>
      <w:r w:rsidR="00464572">
        <w:rPr>
          <w:rFonts w:ascii="Times New Roman" w:hAnsi="Times New Roman" w:cs="Times New Roman"/>
          <w:sz w:val="24"/>
          <w:szCs w:val="24"/>
          <w:lang w:val="en-GB"/>
        </w:rPr>
        <w:t>(</w:t>
      </w:r>
      <w:r w:rsidRPr="001B6D13">
        <w:rPr>
          <w:rFonts w:ascii="Times New Roman" w:hAnsi="Times New Roman" w:cs="Times New Roman"/>
          <w:sz w:val="24"/>
          <w:szCs w:val="24"/>
          <w:lang w:val="en-GB"/>
        </w:rPr>
        <w:t>Kallis</w:t>
      </w:r>
      <w:r w:rsidR="00464572">
        <w:rPr>
          <w:rFonts w:ascii="Times New Roman" w:hAnsi="Times New Roman" w:cs="Times New Roman"/>
          <w:sz w:val="24"/>
          <w:szCs w:val="24"/>
          <w:lang w:val="en-GB"/>
        </w:rPr>
        <w:t>,</w:t>
      </w:r>
      <w:r w:rsidRPr="001B6D13">
        <w:rPr>
          <w:rFonts w:ascii="Times New Roman" w:hAnsi="Times New Roman" w:cs="Times New Roman"/>
          <w:sz w:val="24"/>
          <w:szCs w:val="24"/>
          <w:lang w:val="en-GB"/>
        </w:rPr>
        <w:t xml:space="preserve"> 2011</w:t>
      </w:r>
      <w:r w:rsidR="00464572">
        <w:rPr>
          <w:rFonts w:ascii="Times New Roman" w:hAnsi="Times New Roman" w:cs="Times New Roman"/>
          <w:sz w:val="24"/>
          <w:szCs w:val="24"/>
          <w:lang w:val="en-GB"/>
        </w:rPr>
        <w:t>)</w:t>
      </w:r>
      <w:r w:rsidRPr="001B6D13">
        <w:rPr>
          <w:rFonts w:ascii="Times New Roman" w:hAnsi="Times New Roman" w:cs="Times New Roman"/>
          <w:sz w:val="24"/>
          <w:szCs w:val="24"/>
          <w:lang w:val="en-GB"/>
        </w:rPr>
        <w:t xml:space="preserve">. </w:t>
      </w:r>
    </w:p>
    <w:p w14:paraId="608D89AF" w14:textId="77777777" w:rsidR="00464572" w:rsidRDefault="00464572" w:rsidP="001B6D13">
      <w:pPr>
        <w:jc w:val="both"/>
        <w:rPr>
          <w:rFonts w:ascii="Times New Roman" w:hAnsi="Times New Roman" w:cs="Times New Roman"/>
          <w:sz w:val="24"/>
          <w:szCs w:val="24"/>
          <w:lang w:val="en-GB"/>
        </w:rPr>
      </w:pPr>
    </w:p>
    <w:p w14:paraId="1591385F" w14:textId="29CA9AC3" w:rsidR="00464572" w:rsidRPr="00464572" w:rsidRDefault="00AF2D2F" w:rsidP="00464572">
      <w:pPr>
        <w:pStyle w:val="ListParagraph"/>
        <w:numPr>
          <w:ilvl w:val="2"/>
          <w:numId w:val="1"/>
        </w:numPr>
        <w:jc w:val="both"/>
        <w:rPr>
          <w:rFonts w:ascii="Times New Roman" w:hAnsi="Times New Roman" w:cs="Times New Roman"/>
          <w:sz w:val="24"/>
          <w:szCs w:val="24"/>
          <w:lang w:val="en-GB"/>
        </w:rPr>
      </w:pPr>
      <w:r w:rsidRPr="00464572">
        <w:rPr>
          <w:rFonts w:ascii="Times New Roman" w:hAnsi="Times New Roman" w:cs="Times New Roman"/>
          <w:sz w:val="24"/>
          <w:szCs w:val="24"/>
          <w:lang w:val="en-GB"/>
        </w:rPr>
        <w:t xml:space="preserve">Local and Circular Economies </w:t>
      </w:r>
    </w:p>
    <w:p w14:paraId="4BAC33B9" w14:textId="0CDD018D" w:rsidR="00AF2D2F" w:rsidRPr="001B6D13" w:rsidRDefault="00AF2D2F" w:rsidP="001B6D13">
      <w:pPr>
        <w:jc w:val="both"/>
        <w:rPr>
          <w:rFonts w:ascii="Times New Roman" w:hAnsi="Times New Roman" w:cs="Times New Roman"/>
          <w:sz w:val="24"/>
          <w:szCs w:val="24"/>
          <w:lang w:val="en-GB"/>
        </w:rPr>
      </w:pPr>
      <w:r w:rsidRPr="001B6D13">
        <w:rPr>
          <w:rFonts w:ascii="Times New Roman" w:hAnsi="Times New Roman" w:cs="Times New Roman"/>
          <w:sz w:val="24"/>
          <w:szCs w:val="24"/>
          <w:lang w:val="en-GB"/>
        </w:rPr>
        <w:t>Degrowth calls for localizing economies as a counter-solution to the negative impacts of globalization, both ecologically and socially. It can be manifested in the consumption of locally produced food, small-scale entrepreneurship, and a circular economy, where waste production is minimized by recycling and material reuse. In a circular economy, attention shall be given to designing products that last longer, reducing consumption, and sharing uses, such as cooperatives, as part of environmental sustainability and social equity (Ellen MacArthur Foundation, 2015).</w:t>
      </w:r>
      <w:r w:rsidR="00B60B88">
        <w:rPr>
          <w:rFonts w:ascii="Times New Roman" w:hAnsi="Times New Roman" w:cs="Times New Roman"/>
          <w:sz w:val="24"/>
          <w:szCs w:val="24"/>
          <w:lang w:val="en-GB"/>
        </w:rPr>
        <w:t xml:space="preserve"> </w:t>
      </w:r>
      <w:r w:rsidRPr="001B6D13">
        <w:rPr>
          <w:rFonts w:ascii="Times New Roman" w:hAnsi="Times New Roman" w:cs="Times New Roman"/>
          <w:sz w:val="24"/>
          <w:szCs w:val="24"/>
          <w:lang w:val="en-GB"/>
        </w:rPr>
        <w:t>Transitioning into renewable sources of energy includes solar, wind, hydroelectricity, and other forms, forming part of the degrowth agenda. Among the most striking features of the degrowth policies, attempting to reduce dependence on fossil fuels, are the reduction of greenhouse gas emissions, pollution, and shrinking of the ecological footprint within high-income countries.</w:t>
      </w:r>
    </w:p>
    <w:p w14:paraId="158206AB" w14:textId="2580B7DC" w:rsidR="00AF2D2F" w:rsidRPr="001B6D13" w:rsidRDefault="00AF2D2F" w:rsidP="001B6D13">
      <w:pPr>
        <w:jc w:val="both"/>
        <w:rPr>
          <w:rFonts w:ascii="Times New Roman" w:hAnsi="Times New Roman" w:cs="Times New Roman"/>
          <w:sz w:val="24"/>
          <w:szCs w:val="24"/>
          <w:lang w:val="en-GB"/>
        </w:rPr>
      </w:pPr>
      <w:r w:rsidRPr="001B6D13">
        <w:rPr>
          <w:rFonts w:ascii="Times New Roman" w:hAnsi="Times New Roman" w:cs="Times New Roman"/>
          <w:sz w:val="24"/>
          <w:szCs w:val="24"/>
          <w:lang w:val="en-GB"/>
        </w:rPr>
        <w:t>The best-known example is the German experience with its Energiewende</w:t>
      </w:r>
      <w:r w:rsidR="00464572">
        <w:rPr>
          <w:rFonts w:ascii="Times New Roman" w:hAnsi="Times New Roman" w:cs="Times New Roman"/>
          <w:sz w:val="24"/>
          <w:szCs w:val="24"/>
          <w:lang w:val="en-GB"/>
        </w:rPr>
        <w:t xml:space="preserve">, </w:t>
      </w:r>
      <w:r w:rsidRPr="001B6D13">
        <w:rPr>
          <w:rFonts w:ascii="Times New Roman" w:hAnsi="Times New Roman" w:cs="Times New Roman"/>
          <w:sz w:val="24"/>
          <w:szCs w:val="24"/>
          <w:lang w:val="en-GB"/>
        </w:rPr>
        <w:t>or energy transition: the share of renewable energies can be hugely developed, carbon emission reduced, energy efficiency improved. In the words of Jacobsson and Lauber (2006), degrowth should then be accompanied by transitions that would keep energy access steady while shrinking environmental impacts.</w:t>
      </w:r>
    </w:p>
    <w:p w14:paraId="3846796E" w14:textId="77777777" w:rsidR="00AF2D2F" w:rsidRPr="001B6D13" w:rsidRDefault="00AF2D2F" w:rsidP="001B6D13">
      <w:pPr>
        <w:jc w:val="both"/>
        <w:rPr>
          <w:rFonts w:ascii="Times New Roman" w:hAnsi="Times New Roman" w:cs="Times New Roman"/>
          <w:sz w:val="24"/>
          <w:szCs w:val="24"/>
          <w:lang w:val="en-GB"/>
        </w:rPr>
      </w:pPr>
    </w:p>
    <w:p w14:paraId="02AD4A5B" w14:textId="677B6DF5" w:rsidR="00AF2D2F" w:rsidRPr="00B60B88" w:rsidRDefault="00AF2D2F" w:rsidP="00B60B88">
      <w:pPr>
        <w:pStyle w:val="ListParagraph"/>
        <w:numPr>
          <w:ilvl w:val="1"/>
          <w:numId w:val="1"/>
        </w:numPr>
        <w:jc w:val="both"/>
        <w:rPr>
          <w:rFonts w:ascii="Times New Roman" w:hAnsi="Times New Roman" w:cs="Times New Roman"/>
          <w:b/>
          <w:bCs/>
          <w:sz w:val="24"/>
          <w:szCs w:val="24"/>
          <w:lang w:val="en-GB"/>
        </w:rPr>
      </w:pPr>
      <w:r w:rsidRPr="00B60B88">
        <w:rPr>
          <w:rFonts w:ascii="Times New Roman" w:hAnsi="Times New Roman" w:cs="Times New Roman"/>
          <w:b/>
          <w:bCs/>
          <w:sz w:val="24"/>
          <w:szCs w:val="24"/>
          <w:lang w:val="en-GB"/>
        </w:rPr>
        <w:t>Critiques and Challenges from Within Degrowth</w:t>
      </w:r>
    </w:p>
    <w:p w14:paraId="1A6A257E" w14:textId="0C87D544" w:rsidR="00AF2D2F" w:rsidRPr="001B6D13" w:rsidRDefault="00AF2D2F" w:rsidP="001B6D13">
      <w:pPr>
        <w:jc w:val="both"/>
        <w:rPr>
          <w:rFonts w:ascii="Times New Roman" w:hAnsi="Times New Roman" w:cs="Times New Roman"/>
          <w:sz w:val="24"/>
          <w:szCs w:val="24"/>
          <w:lang w:val="en-GB"/>
        </w:rPr>
      </w:pPr>
      <w:r w:rsidRPr="001B6D13">
        <w:rPr>
          <w:rFonts w:ascii="Times New Roman" w:hAnsi="Times New Roman" w:cs="Times New Roman"/>
          <w:sz w:val="24"/>
          <w:szCs w:val="24"/>
          <w:lang w:val="en-GB"/>
        </w:rPr>
        <w:t xml:space="preserve">While the idea of degrowth might rally significant numbers from environmental, economic, and social justice camps, it is by no means an ideal embraced universally. Among such criticisms </w:t>
      </w:r>
      <w:proofErr w:type="gramStart"/>
      <w:r w:rsidRPr="001B6D13">
        <w:rPr>
          <w:rFonts w:ascii="Times New Roman" w:hAnsi="Times New Roman" w:cs="Times New Roman"/>
          <w:sz w:val="24"/>
          <w:szCs w:val="24"/>
          <w:lang w:val="en-GB"/>
        </w:rPr>
        <w:t>are:</w:t>
      </w:r>
      <w:proofErr w:type="gramEnd"/>
      <w:r w:rsidRPr="001B6D13">
        <w:rPr>
          <w:rFonts w:ascii="Times New Roman" w:hAnsi="Times New Roman" w:cs="Times New Roman"/>
          <w:sz w:val="24"/>
          <w:szCs w:val="24"/>
          <w:lang w:val="en-GB"/>
        </w:rPr>
        <w:t xml:space="preserve"> perceived economic and social dangers to poor countries and populations. Economic shrinkage, with job and public-service losses, is forecast for </w:t>
      </w:r>
      <w:r w:rsidRPr="001B6D13">
        <w:rPr>
          <w:rFonts w:ascii="Times New Roman" w:hAnsi="Times New Roman" w:cs="Times New Roman"/>
          <w:sz w:val="24"/>
          <w:szCs w:val="24"/>
          <w:lang w:val="en-GB"/>
        </w:rPr>
        <w:lastRenderedPageBreak/>
        <w:t xml:space="preserve">heavily consumer-spending and industrially producing societies </w:t>
      </w:r>
      <w:r w:rsidR="000B41B0">
        <w:rPr>
          <w:rFonts w:ascii="Times New Roman" w:hAnsi="Times New Roman" w:cs="Times New Roman"/>
          <w:sz w:val="24"/>
          <w:szCs w:val="24"/>
          <w:lang w:val="en-GB"/>
        </w:rPr>
        <w:t>(</w:t>
      </w:r>
      <w:r w:rsidRPr="001B6D13">
        <w:rPr>
          <w:rFonts w:ascii="Times New Roman" w:hAnsi="Times New Roman" w:cs="Times New Roman"/>
          <w:sz w:val="24"/>
          <w:szCs w:val="24"/>
          <w:lang w:val="en-GB"/>
        </w:rPr>
        <w:t>Schneider, Kallis, &amp; Martinez-Alier</w:t>
      </w:r>
      <w:r w:rsidR="000B41B0">
        <w:rPr>
          <w:rFonts w:ascii="Times New Roman" w:hAnsi="Times New Roman" w:cs="Times New Roman"/>
          <w:sz w:val="24"/>
          <w:szCs w:val="24"/>
          <w:lang w:val="en-GB"/>
        </w:rPr>
        <w:t>,</w:t>
      </w:r>
      <w:r w:rsidRPr="001B6D13">
        <w:rPr>
          <w:rFonts w:ascii="Times New Roman" w:hAnsi="Times New Roman" w:cs="Times New Roman"/>
          <w:sz w:val="24"/>
          <w:szCs w:val="24"/>
          <w:lang w:val="en-GB"/>
        </w:rPr>
        <w:t xml:space="preserve"> 2010).</w:t>
      </w:r>
    </w:p>
    <w:p w14:paraId="752D0F63" w14:textId="16EEA596" w:rsidR="00AF2D2F" w:rsidRPr="001B6D13" w:rsidRDefault="00AF2D2F" w:rsidP="001B6D13">
      <w:pPr>
        <w:jc w:val="both"/>
        <w:rPr>
          <w:rFonts w:ascii="Times New Roman" w:hAnsi="Times New Roman" w:cs="Times New Roman"/>
          <w:sz w:val="24"/>
          <w:szCs w:val="24"/>
          <w:lang w:val="en-GB"/>
        </w:rPr>
      </w:pPr>
    </w:p>
    <w:p w14:paraId="207CEA30" w14:textId="77777777" w:rsidR="00B60B88" w:rsidRPr="000B41B0" w:rsidRDefault="00AF2D2F" w:rsidP="00B60B88">
      <w:pPr>
        <w:pStyle w:val="ListParagraph"/>
        <w:numPr>
          <w:ilvl w:val="2"/>
          <w:numId w:val="1"/>
        </w:numPr>
        <w:jc w:val="both"/>
        <w:rPr>
          <w:rFonts w:ascii="Times New Roman" w:hAnsi="Times New Roman" w:cs="Times New Roman"/>
          <w:sz w:val="24"/>
          <w:szCs w:val="24"/>
          <w:lang w:val="en-GB"/>
        </w:rPr>
      </w:pPr>
      <w:r w:rsidRPr="000B41B0">
        <w:rPr>
          <w:rFonts w:ascii="Times New Roman" w:hAnsi="Times New Roman" w:cs="Times New Roman"/>
          <w:sz w:val="24"/>
          <w:szCs w:val="24"/>
          <w:lang w:val="en-GB"/>
        </w:rPr>
        <w:t>Economic Instability</w:t>
      </w:r>
    </w:p>
    <w:p w14:paraId="5CB44725" w14:textId="3E9C2002" w:rsidR="00AF2D2F" w:rsidRPr="00B60B88" w:rsidRDefault="00AF2D2F" w:rsidP="00B60B88">
      <w:pPr>
        <w:jc w:val="both"/>
        <w:rPr>
          <w:rFonts w:ascii="Times New Roman" w:hAnsi="Times New Roman" w:cs="Times New Roman"/>
          <w:sz w:val="24"/>
          <w:szCs w:val="24"/>
          <w:lang w:val="en-GB"/>
        </w:rPr>
      </w:pPr>
      <w:r w:rsidRPr="00B60B88">
        <w:rPr>
          <w:rFonts w:ascii="Times New Roman" w:hAnsi="Times New Roman" w:cs="Times New Roman"/>
          <w:sz w:val="24"/>
          <w:szCs w:val="24"/>
          <w:lang w:val="en-GB"/>
        </w:rPr>
        <w:t xml:space="preserve">The probably biggest fear about degrowth relates to economic instability. Since most of the contemporary economies are built upon growth models, their conscious contraction of production and consumption might well lead to the emergence of recessions, unwelcome companions of increased unemployment and reduced government revenues for vital services like healthcare and education </w:t>
      </w:r>
      <w:r w:rsidR="000B41B0">
        <w:rPr>
          <w:rFonts w:ascii="Times New Roman" w:hAnsi="Times New Roman" w:cs="Times New Roman"/>
          <w:sz w:val="24"/>
          <w:szCs w:val="24"/>
          <w:lang w:val="en-GB"/>
        </w:rPr>
        <w:t>(</w:t>
      </w:r>
      <w:r w:rsidRPr="00B60B88">
        <w:rPr>
          <w:rFonts w:ascii="Times New Roman" w:hAnsi="Times New Roman" w:cs="Times New Roman"/>
          <w:sz w:val="24"/>
          <w:szCs w:val="24"/>
          <w:lang w:val="en-GB"/>
        </w:rPr>
        <w:t>Victor 2008</w:t>
      </w:r>
      <w:r w:rsidR="000B41B0">
        <w:rPr>
          <w:rFonts w:ascii="Times New Roman" w:hAnsi="Times New Roman" w:cs="Times New Roman"/>
          <w:sz w:val="24"/>
          <w:szCs w:val="24"/>
          <w:lang w:val="en-GB"/>
        </w:rPr>
        <w:t>)</w:t>
      </w:r>
      <w:r w:rsidRPr="00B60B88">
        <w:rPr>
          <w:rFonts w:ascii="Times New Roman" w:hAnsi="Times New Roman" w:cs="Times New Roman"/>
          <w:sz w:val="24"/>
          <w:szCs w:val="24"/>
          <w:lang w:val="en-GB"/>
        </w:rPr>
        <w:t>. The challenge for degrowth advocates is to propose policies that mitigate these risks, such as universal basic income (UBI), work-sharing arrangements, or investments in the care economy, which prioritize human well-being over market efficiency (Latouche, 2009). Political Feasibility: Another challenge is the political feasibility of implementing degrowth on a large scale. Governments and political leaders are often hesitant to embrace degrowth policies because they run counter to the dominant economic narrative that equates growth with prosperity. Furthermore, corporations and wealthy elites, who benefit the most from the current system, are likely to resist policies that reduce consumption or curtail industrial production (Schmelzer, 2016).</w:t>
      </w:r>
    </w:p>
    <w:p w14:paraId="4D1C7F24" w14:textId="6F46163E" w:rsidR="000B41B0" w:rsidRDefault="000B41B0" w:rsidP="001B6D13">
      <w:pPr>
        <w:jc w:val="both"/>
        <w:rPr>
          <w:rFonts w:ascii="Times New Roman" w:hAnsi="Times New Roman" w:cs="Times New Roman"/>
          <w:sz w:val="24"/>
          <w:szCs w:val="24"/>
          <w:lang w:val="en-GB"/>
        </w:rPr>
      </w:pPr>
    </w:p>
    <w:p w14:paraId="2D94A7EE" w14:textId="0488391D" w:rsidR="000B41B0" w:rsidRPr="000B41B0" w:rsidRDefault="00AF2D2F" w:rsidP="000B41B0">
      <w:pPr>
        <w:pStyle w:val="ListParagraph"/>
        <w:numPr>
          <w:ilvl w:val="2"/>
          <w:numId w:val="1"/>
        </w:numPr>
        <w:jc w:val="both"/>
        <w:rPr>
          <w:rFonts w:ascii="Times New Roman" w:hAnsi="Times New Roman" w:cs="Times New Roman"/>
          <w:sz w:val="24"/>
          <w:szCs w:val="24"/>
          <w:lang w:val="en-GB"/>
        </w:rPr>
      </w:pPr>
      <w:r w:rsidRPr="000B41B0">
        <w:rPr>
          <w:rFonts w:ascii="Times New Roman" w:hAnsi="Times New Roman" w:cs="Times New Roman"/>
          <w:sz w:val="24"/>
          <w:szCs w:val="24"/>
          <w:lang w:val="en-GB"/>
        </w:rPr>
        <w:t>Degrowth and Global Inequality</w:t>
      </w:r>
    </w:p>
    <w:p w14:paraId="19703758" w14:textId="2F980466" w:rsidR="00AF2D2F" w:rsidRPr="001B6D13" w:rsidRDefault="00AF2D2F" w:rsidP="001B6D13">
      <w:pPr>
        <w:jc w:val="both"/>
        <w:rPr>
          <w:rFonts w:ascii="Times New Roman" w:hAnsi="Times New Roman" w:cs="Times New Roman"/>
          <w:sz w:val="24"/>
          <w:szCs w:val="24"/>
          <w:lang w:val="en-GB"/>
        </w:rPr>
      </w:pPr>
      <w:r w:rsidRPr="001B6D13">
        <w:rPr>
          <w:rFonts w:ascii="Times New Roman" w:hAnsi="Times New Roman" w:cs="Times New Roman"/>
          <w:sz w:val="24"/>
          <w:szCs w:val="24"/>
          <w:lang w:val="en-GB"/>
        </w:rPr>
        <w:t>The other thing is that degrowth, if pursued poorly, would only set in concrete global inequalities between rich and poor nations. Most developing countries, especially in the Global South, have improved standards of living to date in their efforts toward poverty eradication.</w:t>
      </w:r>
      <w:r w:rsidR="00B60B88">
        <w:rPr>
          <w:rFonts w:ascii="Times New Roman" w:hAnsi="Times New Roman" w:cs="Times New Roman"/>
          <w:sz w:val="24"/>
          <w:szCs w:val="24"/>
          <w:lang w:val="en-GB"/>
        </w:rPr>
        <w:t xml:space="preserve"> </w:t>
      </w:r>
      <w:r w:rsidRPr="001B6D13">
        <w:rPr>
          <w:rFonts w:ascii="Times New Roman" w:hAnsi="Times New Roman" w:cs="Times New Roman"/>
          <w:sz w:val="24"/>
          <w:szCs w:val="24"/>
          <w:lang w:val="en-GB"/>
        </w:rPr>
        <w:t xml:space="preserve">Degrowth opponents indicate that </w:t>
      </w:r>
      <w:r w:rsidR="000B41B0">
        <w:rPr>
          <w:rFonts w:ascii="Times New Roman" w:hAnsi="Times New Roman" w:cs="Times New Roman"/>
          <w:sz w:val="24"/>
          <w:szCs w:val="24"/>
          <w:lang w:val="en-GB"/>
        </w:rPr>
        <w:t>“</w:t>
      </w:r>
      <w:r w:rsidRPr="001B6D13">
        <w:rPr>
          <w:rFonts w:ascii="Times New Roman" w:hAnsi="Times New Roman" w:cs="Times New Roman"/>
          <w:sz w:val="24"/>
          <w:szCs w:val="24"/>
          <w:lang w:val="en-GB"/>
        </w:rPr>
        <w:t>a contraction of growth in the rich countries may reduce funding available for development aid, trade and technology transfer, further increasing the relative disadvantages faced by poorer countries</w:t>
      </w:r>
      <w:r w:rsidR="000B41B0">
        <w:rPr>
          <w:rFonts w:ascii="Times New Roman" w:hAnsi="Times New Roman" w:cs="Times New Roman"/>
          <w:sz w:val="24"/>
          <w:szCs w:val="24"/>
          <w:lang w:val="en-GB"/>
        </w:rPr>
        <w:t>”</w:t>
      </w:r>
      <w:r w:rsidRPr="001B6D13">
        <w:rPr>
          <w:rFonts w:ascii="Times New Roman" w:hAnsi="Times New Roman" w:cs="Times New Roman"/>
          <w:sz w:val="24"/>
          <w:szCs w:val="24"/>
          <w:lang w:val="en-GB"/>
        </w:rPr>
        <w:t xml:space="preserve"> </w:t>
      </w:r>
      <w:r w:rsidR="000B41B0">
        <w:rPr>
          <w:rFonts w:ascii="Times New Roman" w:hAnsi="Times New Roman" w:cs="Times New Roman"/>
          <w:sz w:val="24"/>
          <w:szCs w:val="24"/>
          <w:lang w:val="en-GB"/>
        </w:rPr>
        <w:t>(</w:t>
      </w:r>
      <w:r w:rsidRPr="001B6D13">
        <w:rPr>
          <w:rFonts w:ascii="Times New Roman" w:hAnsi="Times New Roman" w:cs="Times New Roman"/>
          <w:sz w:val="24"/>
          <w:szCs w:val="24"/>
          <w:lang w:val="en-GB"/>
        </w:rPr>
        <w:t>Victor</w:t>
      </w:r>
      <w:r w:rsidR="000B41B0">
        <w:rPr>
          <w:rFonts w:ascii="Times New Roman" w:hAnsi="Times New Roman" w:cs="Times New Roman"/>
          <w:sz w:val="24"/>
          <w:szCs w:val="24"/>
          <w:lang w:val="en-GB"/>
        </w:rPr>
        <w:t>,</w:t>
      </w:r>
      <w:r w:rsidRPr="001B6D13">
        <w:rPr>
          <w:rFonts w:ascii="Times New Roman" w:hAnsi="Times New Roman" w:cs="Times New Roman"/>
          <w:sz w:val="24"/>
          <w:szCs w:val="24"/>
          <w:lang w:val="en-GB"/>
        </w:rPr>
        <w:t xml:space="preserve"> 2008</w:t>
      </w:r>
      <w:r w:rsidR="000B41B0">
        <w:rPr>
          <w:rFonts w:ascii="Times New Roman" w:hAnsi="Times New Roman" w:cs="Times New Roman"/>
          <w:sz w:val="24"/>
          <w:szCs w:val="24"/>
          <w:lang w:val="en-GB"/>
        </w:rPr>
        <w:t>)</w:t>
      </w:r>
      <w:r w:rsidRPr="001B6D13">
        <w:rPr>
          <w:rFonts w:ascii="Times New Roman" w:hAnsi="Times New Roman" w:cs="Times New Roman"/>
          <w:sz w:val="24"/>
          <w:szCs w:val="24"/>
          <w:lang w:val="en-GB"/>
        </w:rPr>
        <w:t>.</w:t>
      </w:r>
      <w:r w:rsidR="000F0F99">
        <w:rPr>
          <w:rFonts w:ascii="Times New Roman" w:hAnsi="Times New Roman" w:cs="Times New Roman"/>
          <w:sz w:val="24"/>
          <w:szCs w:val="24"/>
          <w:lang w:val="en-GB"/>
        </w:rPr>
        <w:t xml:space="preserve"> </w:t>
      </w:r>
      <w:r w:rsidRPr="001B6D13">
        <w:rPr>
          <w:rFonts w:ascii="Times New Roman" w:hAnsi="Times New Roman" w:cs="Times New Roman"/>
          <w:sz w:val="24"/>
          <w:szCs w:val="24"/>
          <w:lang w:val="en-GB"/>
        </w:rPr>
        <w:t xml:space="preserve">However, degrowth proponents suggest that, in theory at least, a global redistribution of wealth and resources might allow for </w:t>
      </w:r>
      <w:r w:rsidR="000B41B0">
        <w:rPr>
          <w:rFonts w:ascii="Times New Roman" w:hAnsi="Times New Roman" w:cs="Times New Roman"/>
          <w:sz w:val="24"/>
          <w:szCs w:val="24"/>
          <w:lang w:val="en-GB"/>
        </w:rPr>
        <w:t>“</w:t>
      </w:r>
      <w:r w:rsidRPr="001B6D13">
        <w:rPr>
          <w:rFonts w:ascii="Times New Roman" w:hAnsi="Times New Roman" w:cs="Times New Roman"/>
          <w:sz w:val="24"/>
          <w:szCs w:val="24"/>
          <w:lang w:val="en-GB"/>
        </w:rPr>
        <w:t>selective degrowth</w:t>
      </w:r>
      <w:r w:rsidR="000F0F99">
        <w:rPr>
          <w:rFonts w:ascii="Times New Roman" w:hAnsi="Times New Roman" w:cs="Times New Roman"/>
          <w:sz w:val="24"/>
          <w:szCs w:val="24"/>
          <w:lang w:val="en-GB"/>
        </w:rPr>
        <w:t>”</w:t>
      </w:r>
      <w:r w:rsidRPr="001B6D13">
        <w:rPr>
          <w:rFonts w:ascii="Times New Roman" w:hAnsi="Times New Roman" w:cs="Times New Roman"/>
          <w:sz w:val="24"/>
          <w:szCs w:val="24"/>
          <w:lang w:val="en-GB"/>
        </w:rPr>
        <w:t xml:space="preserve"> in the Global North while enabling sustainable growth in the Global South, with a focus on basic needs satisfaction and well-being (</w:t>
      </w:r>
      <w:proofErr w:type="spellStart"/>
      <w:r w:rsidRPr="001B6D13">
        <w:rPr>
          <w:rFonts w:ascii="Times New Roman" w:hAnsi="Times New Roman" w:cs="Times New Roman"/>
          <w:sz w:val="24"/>
          <w:szCs w:val="24"/>
          <w:lang w:val="en-GB"/>
        </w:rPr>
        <w:t>D'Alisa</w:t>
      </w:r>
      <w:proofErr w:type="spellEnd"/>
      <w:r w:rsidRPr="001B6D13">
        <w:rPr>
          <w:rFonts w:ascii="Times New Roman" w:hAnsi="Times New Roman" w:cs="Times New Roman"/>
          <w:sz w:val="24"/>
          <w:szCs w:val="24"/>
          <w:lang w:val="en-GB"/>
        </w:rPr>
        <w:t>, Demaria, &amp; Kallis, 2014).</w:t>
      </w:r>
    </w:p>
    <w:p w14:paraId="0107D947" w14:textId="77777777" w:rsidR="00AF2D2F" w:rsidRPr="001B6D13" w:rsidRDefault="00AF2D2F" w:rsidP="001B6D13">
      <w:pPr>
        <w:jc w:val="both"/>
        <w:rPr>
          <w:rFonts w:ascii="Times New Roman" w:hAnsi="Times New Roman" w:cs="Times New Roman"/>
          <w:sz w:val="24"/>
          <w:szCs w:val="24"/>
          <w:lang w:val="en-GB"/>
        </w:rPr>
      </w:pPr>
    </w:p>
    <w:p w14:paraId="25273603" w14:textId="186B601B" w:rsidR="00AF2D2F" w:rsidRPr="00B60B88" w:rsidRDefault="00AF2D2F" w:rsidP="00B60B88">
      <w:pPr>
        <w:pStyle w:val="ListParagraph"/>
        <w:numPr>
          <w:ilvl w:val="1"/>
          <w:numId w:val="1"/>
        </w:numPr>
        <w:jc w:val="both"/>
        <w:rPr>
          <w:rFonts w:ascii="Times New Roman" w:hAnsi="Times New Roman" w:cs="Times New Roman"/>
          <w:b/>
          <w:bCs/>
          <w:sz w:val="24"/>
          <w:szCs w:val="24"/>
          <w:lang w:val="en-GB"/>
        </w:rPr>
      </w:pPr>
      <w:r w:rsidRPr="00B60B88">
        <w:rPr>
          <w:rFonts w:ascii="Times New Roman" w:hAnsi="Times New Roman" w:cs="Times New Roman"/>
          <w:b/>
          <w:bCs/>
          <w:sz w:val="24"/>
          <w:szCs w:val="24"/>
          <w:lang w:val="en-GB"/>
        </w:rPr>
        <w:t>The Way Ahead: Role of Policy and Society vis-à-vis Degrowth</w:t>
      </w:r>
    </w:p>
    <w:p w14:paraId="7390DC72" w14:textId="77777777" w:rsidR="00B60B88" w:rsidRDefault="00AF2D2F" w:rsidP="001B6D13">
      <w:pPr>
        <w:jc w:val="both"/>
        <w:rPr>
          <w:rFonts w:ascii="Times New Roman" w:hAnsi="Times New Roman" w:cs="Times New Roman"/>
          <w:sz w:val="24"/>
          <w:szCs w:val="24"/>
          <w:lang w:val="en-GB"/>
        </w:rPr>
      </w:pPr>
      <w:r w:rsidRPr="001B6D13">
        <w:rPr>
          <w:rFonts w:ascii="Times New Roman" w:hAnsi="Times New Roman" w:cs="Times New Roman"/>
          <w:sz w:val="24"/>
          <w:szCs w:val="24"/>
          <w:lang w:val="en-GB"/>
        </w:rPr>
        <w:t xml:space="preserve">That is no easy task, but through degrowth, there is an appealing vision of the human future: human societies valuing ecological sustainability, social justice, and well-being beyond market logics and imperatives of growth. The transition of a degrowth society covers policy innovation and grass-roots activism. </w:t>
      </w:r>
    </w:p>
    <w:p w14:paraId="55E7D773" w14:textId="32C07A89" w:rsidR="00B60B88" w:rsidRDefault="00AF2D2F" w:rsidP="001B6D13">
      <w:pPr>
        <w:jc w:val="both"/>
        <w:rPr>
          <w:rFonts w:ascii="Times New Roman" w:hAnsi="Times New Roman" w:cs="Times New Roman"/>
          <w:sz w:val="24"/>
          <w:szCs w:val="24"/>
          <w:lang w:val="en-GB"/>
        </w:rPr>
      </w:pPr>
      <w:r w:rsidRPr="00DB01C0">
        <w:rPr>
          <w:rFonts w:ascii="Times New Roman" w:hAnsi="Times New Roman" w:cs="Times New Roman"/>
          <w:b/>
          <w:bCs/>
          <w:i/>
          <w:iCs/>
          <w:sz w:val="24"/>
          <w:szCs w:val="24"/>
          <w:lang w:val="en-GB"/>
        </w:rPr>
        <w:lastRenderedPageBreak/>
        <w:t>Policy Innovation:</w:t>
      </w:r>
      <w:r w:rsidRPr="001B6D13">
        <w:rPr>
          <w:rFonts w:ascii="Times New Roman" w:hAnsi="Times New Roman" w:cs="Times New Roman"/>
          <w:sz w:val="24"/>
          <w:szCs w:val="24"/>
          <w:lang w:val="en-GB"/>
        </w:rPr>
        <w:t xml:space="preserve"> Targeted policy action by governments remains important in the advancement of the degrowth agenda. These may be in the form of carbon taxes, reduction of subsidies to pollution-heavy industries, strict environmental regulations, incentives toward renewable energy and local economies (Jackson</w:t>
      </w:r>
      <w:r w:rsidR="000F0F99">
        <w:rPr>
          <w:rFonts w:ascii="Times New Roman" w:hAnsi="Times New Roman" w:cs="Times New Roman"/>
          <w:sz w:val="24"/>
          <w:szCs w:val="24"/>
          <w:lang w:val="en-GB"/>
        </w:rPr>
        <w:t>,</w:t>
      </w:r>
      <w:r w:rsidRPr="001B6D13">
        <w:rPr>
          <w:rFonts w:ascii="Times New Roman" w:hAnsi="Times New Roman" w:cs="Times New Roman"/>
          <w:sz w:val="24"/>
          <w:szCs w:val="24"/>
          <w:lang w:val="en-GB"/>
        </w:rPr>
        <w:t xml:space="preserve"> 2009). The policy changes also have to provide comprehensive welfare programs; for example, UBS entails universal access to housing, education, health, and food irrespective of levels of economic growth (Coote &amp; Percy</w:t>
      </w:r>
      <w:r w:rsidR="000F0F99">
        <w:rPr>
          <w:rFonts w:ascii="Times New Roman" w:hAnsi="Times New Roman" w:cs="Times New Roman"/>
          <w:sz w:val="24"/>
          <w:szCs w:val="24"/>
          <w:lang w:val="en-GB"/>
        </w:rPr>
        <w:t>,</w:t>
      </w:r>
      <w:r w:rsidRPr="001B6D13">
        <w:rPr>
          <w:rFonts w:ascii="Times New Roman" w:hAnsi="Times New Roman" w:cs="Times New Roman"/>
          <w:sz w:val="24"/>
          <w:szCs w:val="24"/>
          <w:lang w:val="en-GB"/>
        </w:rPr>
        <w:t xml:space="preserve"> 2020). </w:t>
      </w:r>
    </w:p>
    <w:p w14:paraId="71EB66B0" w14:textId="372A23B0" w:rsidR="00DB01C0" w:rsidRDefault="00AF2D2F" w:rsidP="001B6D13">
      <w:pPr>
        <w:jc w:val="both"/>
        <w:rPr>
          <w:rFonts w:ascii="Times New Roman" w:hAnsi="Times New Roman" w:cs="Times New Roman"/>
          <w:sz w:val="24"/>
          <w:szCs w:val="24"/>
          <w:lang w:val="en-GB"/>
        </w:rPr>
      </w:pPr>
      <w:r w:rsidRPr="00DB01C0">
        <w:rPr>
          <w:rFonts w:ascii="Times New Roman" w:hAnsi="Times New Roman" w:cs="Times New Roman"/>
          <w:b/>
          <w:bCs/>
          <w:i/>
          <w:iCs/>
          <w:sz w:val="24"/>
          <w:szCs w:val="24"/>
          <w:lang w:val="en-GB"/>
        </w:rPr>
        <w:t>Cultural change:</w:t>
      </w:r>
      <w:r w:rsidRPr="001B6D13">
        <w:rPr>
          <w:rFonts w:ascii="Times New Roman" w:hAnsi="Times New Roman" w:cs="Times New Roman"/>
          <w:sz w:val="24"/>
          <w:szCs w:val="24"/>
          <w:lang w:val="en-GB"/>
        </w:rPr>
        <w:t xml:space="preserve"> Degrowth transition is also one of cultural change. One might understand by this that this would mean the cultivation of values opposed to the cultural ethos of consumerism by means of education, raising consciousness, and building different values such as community solidarity, self-sufficiency, and environmental stewardship-that is, a shift from a culture of </w:t>
      </w:r>
      <w:r w:rsidR="000F0F99">
        <w:rPr>
          <w:rFonts w:ascii="Times New Roman" w:hAnsi="Times New Roman" w:cs="Times New Roman"/>
          <w:sz w:val="24"/>
          <w:szCs w:val="24"/>
          <w:lang w:val="en-GB"/>
        </w:rPr>
        <w:t>“</w:t>
      </w:r>
      <w:r w:rsidRPr="001B6D13">
        <w:rPr>
          <w:rFonts w:ascii="Times New Roman" w:hAnsi="Times New Roman" w:cs="Times New Roman"/>
          <w:sz w:val="24"/>
          <w:szCs w:val="24"/>
          <w:lang w:val="en-GB"/>
        </w:rPr>
        <w:t>having</w:t>
      </w:r>
      <w:r w:rsidR="000F0F99">
        <w:rPr>
          <w:rFonts w:ascii="Times New Roman" w:hAnsi="Times New Roman" w:cs="Times New Roman"/>
          <w:sz w:val="24"/>
          <w:szCs w:val="24"/>
          <w:lang w:val="en-GB"/>
        </w:rPr>
        <w:t>”</w:t>
      </w:r>
      <w:r w:rsidRPr="001B6D13">
        <w:rPr>
          <w:rFonts w:ascii="Times New Roman" w:hAnsi="Times New Roman" w:cs="Times New Roman"/>
          <w:sz w:val="24"/>
          <w:szCs w:val="24"/>
          <w:lang w:val="en-GB"/>
        </w:rPr>
        <w:t xml:space="preserve"> to a culture of </w:t>
      </w:r>
      <w:r w:rsidR="000F0F99">
        <w:rPr>
          <w:rFonts w:ascii="Times New Roman" w:hAnsi="Times New Roman" w:cs="Times New Roman"/>
          <w:sz w:val="24"/>
          <w:szCs w:val="24"/>
          <w:lang w:val="en-GB"/>
        </w:rPr>
        <w:t>“</w:t>
      </w:r>
      <w:r w:rsidRPr="001B6D13">
        <w:rPr>
          <w:rFonts w:ascii="Times New Roman" w:hAnsi="Times New Roman" w:cs="Times New Roman"/>
          <w:sz w:val="24"/>
          <w:szCs w:val="24"/>
          <w:lang w:val="en-GB"/>
        </w:rPr>
        <w:t>being</w:t>
      </w:r>
      <w:r w:rsidR="000F0F99">
        <w:rPr>
          <w:rFonts w:ascii="Times New Roman" w:hAnsi="Times New Roman" w:cs="Times New Roman"/>
          <w:sz w:val="24"/>
          <w:szCs w:val="24"/>
          <w:lang w:val="en-GB"/>
        </w:rPr>
        <w:t>”</w:t>
      </w:r>
      <w:r w:rsidRPr="001B6D13">
        <w:rPr>
          <w:rFonts w:ascii="Times New Roman" w:hAnsi="Times New Roman" w:cs="Times New Roman"/>
          <w:sz w:val="24"/>
          <w:szCs w:val="24"/>
          <w:lang w:val="en-GB"/>
        </w:rPr>
        <w:t xml:space="preserve"> (Latouche, 2009). </w:t>
      </w:r>
    </w:p>
    <w:p w14:paraId="629B4593" w14:textId="667D59D0" w:rsidR="00B054C0" w:rsidRPr="001B6D13" w:rsidRDefault="00AF2D2F" w:rsidP="001B6D13">
      <w:pPr>
        <w:jc w:val="both"/>
        <w:rPr>
          <w:rFonts w:ascii="Times New Roman" w:hAnsi="Times New Roman" w:cs="Times New Roman"/>
          <w:sz w:val="24"/>
          <w:szCs w:val="24"/>
          <w:lang w:val="en-GB"/>
        </w:rPr>
      </w:pPr>
      <w:r w:rsidRPr="00DB01C0">
        <w:rPr>
          <w:rFonts w:ascii="Times New Roman" w:hAnsi="Times New Roman" w:cs="Times New Roman"/>
          <w:b/>
          <w:bCs/>
          <w:i/>
          <w:iCs/>
          <w:sz w:val="24"/>
          <w:szCs w:val="24"/>
          <w:lang w:val="en-GB"/>
        </w:rPr>
        <w:t>Grassroots Movements:</w:t>
      </w:r>
      <w:r w:rsidRPr="001B6D13">
        <w:rPr>
          <w:rFonts w:ascii="Times New Roman" w:hAnsi="Times New Roman" w:cs="Times New Roman"/>
          <w:sz w:val="24"/>
          <w:szCs w:val="24"/>
          <w:lang w:val="en-GB"/>
        </w:rPr>
        <w:t xml:space="preserve"> Grassroots movements insist on degrowth-oriented changes. Campaigns for environmental justice, community-based initiatives of sustainability, and cooperatives that allow sharing of resources and collective decision-making are manifestations of degrowth at the local level. According to Kallis (2011), in return, such grassroots movements will inspire wider social change by illustrating the potential and benefits of alternative economic models.</w:t>
      </w:r>
    </w:p>
    <w:p w14:paraId="58296205" w14:textId="77777777" w:rsidR="00AF2D2F" w:rsidRPr="001B6D13" w:rsidRDefault="00AF2D2F" w:rsidP="001B6D13">
      <w:pPr>
        <w:jc w:val="both"/>
        <w:rPr>
          <w:rFonts w:ascii="Times New Roman" w:hAnsi="Times New Roman" w:cs="Times New Roman"/>
          <w:sz w:val="24"/>
          <w:szCs w:val="24"/>
          <w:lang w:val="en-GB"/>
        </w:rPr>
      </w:pPr>
    </w:p>
    <w:p w14:paraId="5B649A82" w14:textId="3C621019" w:rsidR="00AF2D2F" w:rsidRPr="001B6D13" w:rsidRDefault="00AF2D2F" w:rsidP="001B6D13">
      <w:pPr>
        <w:jc w:val="both"/>
        <w:rPr>
          <w:rFonts w:ascii="Times New Roman" w:hAnsi="Times New Roman" w:cs="Times New Roman"/>
          <w:sz w:val="24"/>
          <w:szCs w:val="24"/>
          <w:lang w:val="en-GB"/>
        </w:rPr>
      </w:pPr>
    </w:p>
    <w:p w14:paraId="331C856D" w14:textId="6119F10C" w:rsidR="00DB01C0" w:rsidRPr="00DB01C0" w:rsidRDefault="00AF2D2F" w:rsidP="00DB01C0">
      <w:pPr>
        <w:pStyle w:val="ListParagraph"/>
        <w:numPr>
          <w:ilvl w:val="0"/>
          <w:numId w:val="1"/>
        </w:numPr>
        <w:jc w:val="both"/>
        <w:rPr>
          <w:rFonts w:ascii="Times New Roman" w:hAnsi="Times New Roman" w:cs="Times New Roman"/>
          <w:b/>
          <w:bCs/>
          <w:sz w:val="28"/>
          <w:szCs w:val="28"/>
          <w:lang w:val="en-GB"/>
        </w:rPr>
      </w:pPr>
      <w:r w:rsidRPr="00DB01C0">
        <w:rPr>
          <w:rFonts w:ascii="Times New Roman" w:hAnsi="Times New Roman" w:cs="Times New Roman"/>
          <w:b/>
          <w:bCs/>
          <w:sz w:val="28"/>
          <w:szCs w:val="28"/>
          <w:lang w:val="en-GB"/>
        </w:rPr>
        <w:t>Rethinking Progress: Towards a Sustainable Equitable Economy</w:t>
      </w:r>
    </w:p>
    <w:p w14:paraId="24994109" w14:textId="1A2FF34E" w:rsidR="00AF2D2F" w:rsidRPr="00DB01C0" w:rsidRDefault="00AF2D2F" w:rsidP="00DB01C0">
      <w:pPr>
        <w:pStyle w:val="ListParagraph"/>
        <w:numPr>
          <w:ilvl w:val="1"/>
          <w:numId w:val="1"/>
        </w:numPr>
        <w:jc w:val="both"/>
        <w:rPr>
          <w:rFonts w:ascii="Times New Roman" w:hAnsi="Times New Roman" w:cs="Times New Roman"/>
          <w:b/>
          <w:bCs/>
          <w:sz w:val="24"/>
          <w:szCs w:val="24"/>
          <w:lang w:val="en-GB"/>
        </w:rPr>
      </w:pPr>
      <w:r w:rsidRPr="00DB01C0">
        <w:rPr>
          <w:rFonts w:ascii="Times New Roman" w:hAnsi="Times New Roman" w:cs="Times New Roman"/>
          <w:b/>
          <w:bCs/>
          <w:sz w:val="24"/>
          <w:szCs w:val="24"/>
          <w:lang w:val="en-GB"/>
        </w:rPr>
        <w:t>Redefining Economic Success</w:t>
      </w:r>
    </w:p>
    <w:p w14:paraId="2660B3B6" w14:textId="77777777" w:rsidR="00AF2D2F" w:rsidRPr="001B6D13" w:rsidRDefault="00AF2D2F" w:rsidP="001B6D13">
      <w:pPr>
        <w:jc w:val="both"/>
        <w:rPr>
          <w:rFonts w:ascii="Times New Roman" w:hAnsi="Times New Roman" w:cs="Times New Roman"/>
          <w:sz w:val="24"/>
          <w:szCs w:val="24"/>
          <w:lang w:val="en-GB"/>
        </w:rPr>
      </w:pPr>
      <w:r w:rsidRPr="001B6D13">
        <w:rPr>
          <w:rFonts w:ascii="Times New Roman" w:hAnsi="Times New Roman" w:cs="Times New Roman"/>
          <w:sz w:val="24"/>
          <w:szCs w:val="24"/>
          <w:lang w:val="en-GB"/>
        </w:rPr>
        <w:t>At the heart of degrowth and other alternative economic models lies the need to redefine what constitutes success. The traditional measure of economic progress, Gross Domestic Product (GDP), has long been critiqued for its limitations. GDP merely quantifies the total market value of all goods and services produced in a country, without accounting for factors such as environmental degradation, social inequality, or overall well-being (Costanza et al., 2014). GDP growth therefore does not describe the societal development thereof. Actually, most increases in GDP mask the exploitation of natural resources, pollution, and growing social disparities.</w:t>
      </w:r>
    </w:p>
    <w:p w14:paraId="19BF236E" w14:textId="77777777" w:rsidR="00DB01C0" w:rsidRDefault="00AF2D2F" w:rsidP="001B6D13">
      <w:pPr>
        <w:jc w:val="both"/>
        <w:rPr>
          <w:rFonts w:ascii="Times New Roman" w:hAnsi="Times New Roman" w:cs="Times New Roman"/>
          <w:sz w:val="24"/>
          <w:szCs w:val="24"/>
          <w:lang w:val="en-GB"/>
        </w:rPr>
      </w:pPr>
      <w:r w:rsidRPr="001B6D13">
        <w:rPr>
          <w:rFonts w:ascii="Times New Roman" w:hAnsi="Times New Roman" w:cs="Times New Roman"/>
          <w:sz w:val="24"/>
          <w:szCs w:val="24"/>
          <w:lang w:val="en-GB"/>
        </w:rPr>
        <w:t>Obvious global climatic changes, resource depletions, and social unrest-accompanying rapidly growing economies-pressed hard in the early 21st century on the already noticeable weaknesses of GDP. Critical questions were: What does economic growth mean if it leads to environmental devastation and increased inequality? Should growth itself be the aim of economic policy, or just an instrument in pursuing well-being and sustainability?</w:t>
      </w:r>
      <w:r w:rsidR="00DB01C0">
        <w:rPr>
          <w:rFonts w:ascii="Times New Roman" w:hAnsi="Times New Roman" w:cs="Times New Roman"/>
          <w:sz w:val="24"/>
          <w:szCs w:val="24"/>
          <w:lang w:val="en-GB"/>
        </w:rPr>
        <w:t xml:space="preserve"> </w:t>
      </w:r>
    </w:p>
    <w:p w14:paraId="4A7AA0B6" w14:textId="745FC96C" w:rsidR="00AF2D2F" w:rsidRPr="001B6D13" w:rsidRDefault="00AF2D2F" w:rsidP="001B6D13">
      <w:pPr>
        <w:jc w:val="both"/>
        <w:rPr>
          <w:rFonts w:ascii="Times New Roman" w:hAnsi="Times New Roman" w:cs="Times New Roman"/>
          <w:sz w:val="24"/>
          <w:szCs w:val="24"/>
          <w:lang w:val="en-GB"/>
        </w:rPr>
      </w:pPr>
      <w:r w:rsidRPr="001B6D13">
        <w:rPr>
          <w:rFonts w:ascii="Times New Roman" w:hAnsi="Times New Roman" w:cs="Times New Roman"/>
          <w:sz w:val="24"/>
          <w:szCs w:val="24"/>
          <w:lang w:val="en-GB"/>
        </w:rPr>
        <w:lastRenderedPageBreak/>
        <w:t>In turn, economists and policy makers forcibly advocate for the use of alternative measures of progress that capture these broader dimensions. Indicators focused on the dimensions of progress other than material wealth also encompass environmental health, social cohesion, education, and happiness, among other areas. The prominent alternatives include:</w:t>
      </w:r>
    </w:p>
    <w:p w14:paraId="7EB44CDA" w14:textId="7E6B11F7" w:rsidR="00AF2D2F" w:rsidRPr="001B6D13" w:rsidRDefault="00AF2D2F" w:rsidP="001B6D13">
      <w:pPr>
        <w:jc w:val="both"/>
        <w:rPr>
          <w:rFonts w:ascii="Times New Roman" w:hAnsi="Times New Roman" w:cs="Times New Roman"/>
          <w:sz w:val="24"/>
          <w:szCs w:val="24"/>
          <w:lang w:val="en-GB"/>
        </w:rPr>
      </w:pPr>
      <w:r w:rsidRPr="00DB01C0">
        <w:rPr>
          <w:rFonts w:ascii="Times New Roman" w:hAnsi="Times New Roman" w:cs="Times New Roman"/>
          <w:b/>
          <w:bCs/>
          <w:i/>
          <w:iCs/>
          <w:sz w:val="24"/>
          <w:szCs w:val="24"/>
          <w:lang w:val="en-GB"/>
        </w:rPr>
        <w:t>Genuine Progress Indicator:</w:t>
      </w:r>
      <w:r w:rsidRPr="001B6D13">
        <w:rPr>
          <w:rFonts w:ascii="Times New Roman" w:hAnsi="Times New Roman" w:cs="Times New Roman"/>
          <w:sz w:val="24"/>
          <w:szCs w:val="24"/>
          <w:lang w:val="en-GB"/>
        </w:rPr>
        <w:t xml:space="preserve"> The Genuine Progress Indicator adjusts the level of the GDP by accounting for environmental costs, social inequality, and the benefits of unpaid work such as caregiving and volunteering. As proposed by Kubiszewski et al. </w:t>
      </w:r>
      <w:r w:rsidR="000F0F99">
        <w:rPr>
          <w:rFonts w:ascii="Times New Roman" w:hAnsi="Times New Roman" w:cs="Times New Roman"/>
          <w:sz w:val="24"/>
          <w:szCs w:val="24"/>
          <w:lang w:val="en-GB"/>
        </w:rPr>
        <w:t>(</w:t>
      </w:r>
      <w:r w:rsidRPr="001B6D13">
        <w:rPr>
          <w:rFonts w:ascii="Times New Roman" w:hAnsi="Times New Roman" w:cs="Times New Roman"/>
          <w:sz w:val="24"/>
          <w:szCs w:val="24"/>
          <w:lang w:val="en-GB"/>
        </w:rPr>
        <w:t>2013</w:t>
      </w:r>
      <w:r w:rsidR="000F0F99">
        <w:rPr>
          <w:rFonts w:ascii="Times New Roman" w:hAnsi="Times New Roman" w:cs="Times New Roman"/>
          <w:sz w:val="24"/>
          <w:szCs w:val="24"/>
          <w:lang w:val="en-GB"/>
        </w:rPr>
        <w:t>)</w:t>
      </w:r>
      <w:r w:rsidRPr="001B6D13">
        <w:rPr>
          <w:rFonts w:ascii="Times New Roman" w:hAnsi="Times New Roman" w:cs="Times New Roman"/>
          <w:sz w:val="24"/>
          <w:szCs w:val="24"/>
          <w:lang w:val="en-GB"/>
        </w:rPr>
        <w:t>, the method corrects negative externalities of growth through subtraction, while addition takes place regarding the contribution made outside the market.</w:t>
      </w:r>
    </w:p>
    <w:p w14:paraId="65F53796" w14:textId="77777777" w:rsidR="00AF2D2F" w:rsidRPr="001B6D13" w:rsidRDefault="00AF2D2F" w:rsidP="001B6D13">
      <w:pPr>
        <w:jc w:val="both"/>
        <w:rPr>
          <w:rFonts w:ascii="Times New Roman" w:hAnsi="Times New Roman" w:cs="Times New Roman"/>
          <w:sz w:val="24"/>
          <w:szCs w:val="24"/>
          <w:lang w:val="en-GB"/>
        </w:rPr>
      </w:pPr>
      <w:r w:rsidRPr="00DB01C0">
        <w:rPr>
          <w:rFonts w:ascii="Times New Roman" w:hAnsi="Times New Roman" w:cs="Times New Roman"/>
          <w:b/>
          <w:bCs/>
          <w:i/>
          <w:iCs/>
          <w:sz w:val="24"/>
          <w:szCs w:val="24"/>
          <w:lang w:val="en-GB"/>
        </w:rPr>
        <w:t>Human Development Index (HDI):</w:t>
      </w:r>
      <w:r w:rsidRPr="001B6D13">
        <w:rPr>
          <w:rFonts w:ascii="Times New Roman" w:hAnsi="Times New Roman" w:cs="Times New Roman"/>
          <w:sz w:val="24"/>
          <w:szCs w:val="24"/>
          <w:lang w:val="en-GB"/>
        </w:rPr>
        <w:t xml:space="preserve"> The HDI, developed by the United Nations, measures well-being through a composite index of life expectancy, education, and income per capita. According to UNDP (2019), it highlights that development is for people's benefit, not only economic growth.</w:t>
      </w:r>
    </w:p>
    <w:p w14:paraId="5CEB35CF" w14:textId="3DCB83A2" w:rsidR="00AF2D2F" w:rsidRPr="001B6D13" w:rsidRDefault="00AF2D2F" w:rsidP="001B6D13">
      <w:pPr>
        <w:jc w:val="both"/>
        <w:rPr>
          <w:rFonts w:ascii="Times New Roman" w:hAnsi="Times New Roman" w:cs="Times New Roman"/>
          <w:sz w:val="24"/>
          <w:szCs w:val="24"/>
          <w:lang w:val="en-GB"/>
        </w:rPr>
      </w:pPr>
      <w:r w:rsidRPr="00DB01C0">
        <w:rPr>
          <w:rFonts w:ascii="Times New Roman" w:hAnsi="Times New Roman" w:cs="Times New Roman"/>
          <w:b/>
          <w:bCs/>
          <w:i/>
          <w:iCs/>
          <w:sz w:val="24"/>
          <w:szCs w:val="24"/>
          <w:lang w:val="en-GB"/>
        </w:rPr>
        <w:t>Happy Planet Index (HPI):</w:t>
      </w:r>
      <w:r w:rsidRPr="001B6D13">
        <w:rPr>
          <w:rFonts w:ascii="Times New Roman" w:hAnsi="Times New Roman" w:cs="Times New Roman"/>
          <w:sz w:val="24"/>
          <w:szCs w:val="24"/>
          <w:lang w:val="en-GB"/>
        </w:rPr>
        <w:t xml:space="preserve"> The HPI measures how well countries deliver long, happy, and sustainable lives for their populations (Marks et al., 2016). It focuses on well-being, life expectancy, inequality, and ecological footprint.</w:t>
      </w:r>
    </w:p>
    <w:p w14:paraId="467C201D" w14:textId="77777777" w:rsidR="00AF2D2F" w:rsidRPr="001B6D13" w:rsidRDefault="00AF2D2F" w:rsidP="001B6D13">
      <w:pPr>
        <w:jc w:val="both"/>
        <w:rPr>
          <w:rFonts w:ascii="Times New Roman" w:hAnsi="Times New Roman" w:cs="Times New Roman"/>
          <w:sz w:val="24"/>
          <w:szCs w:val="24"/>
          <w:lang w:val="en-GB"/>
        </w:rPr>
      </w:pPr>
      <w:r w:rsidRPr="001B6D13">
        <w:rPr>
          <w:rFonts w:ascii="Times New Roman" w:hAnsi="Times New Roman" w:cs="Times New Roman"/>
          <w:sz w:val="24"/>
          <w:szCs w:val="24"/>
          <w:lang w:val="en-GB"/>
        </w:rPr>
        <w:t>These alternative indicators illustrate that prosperity without growth is possible. Economic success should not be evaluated solely by how much a country produces but by how well it provides for the well-being of its citizens while maintaining ecological balance. Nations like Bhutan, which uses Gross National Happiness (GNH) as a key measure of progress, are leading the way in adopting more holistic approaches to success (Ura et al., 2012).</w:t>
      </w:r>
    </w:p>
    <w:p w14:paraId="22E8D12D" w14:textId="77777777" w:rsidR="00AF2D2F" w:rsidRPr="001B6D13" w:rsidRDefault="00AF2D2F" w:rsidP="001B6D13">
      <w:pPr>
        <w:jc w:val="both"/>
        <w:rPr>
          <w:rFonts w:ascii="Times New Roman" w:hAnsi="Times New Roman" w:cs="Times New Roman"/>
          <w:sz w:val="24"/>
          <w:szCs w:val="24"/>
          <w:lang w:val="en-GB"/>
        </w:rPr>
      </w:pPr>
    </w:p>
    <w:p w14:paraId="58AD809D" w14:textId="64E3C432" w:rsidR="00AF2D2F" w:rsidRPr="00DB01C0" w:rsidRDefault="00AF2D2F" w:rsidP="00DB01C0">
      <w:pPr>
        <w:pStyle w:val="ListParagraph"/>
        <w:numPr>
          <w:ilvl w:val="1"/>
          <w:numId w:val="1"/>
        </w:numPr>
        <w:jc w:val="both"/>
        <w:rPr>
          <w:rFonts w:ascii="Times New Roman" w:hAnsi="Times New Roman" w:cs="Times New Roman"/>
          <w:b/>
          <w:bCs/>
          <w:sz w:val="24"/>
          <w:szCs w:val="24"/>
          <w:lang w:val="en-GB"/>
        </w:rPr>
      </w:pPr>
      <w:r w:rsidRPr="00DB01C0">
        <w:rPr>
          <w:rFonts w:ascii="Times New Roman" w:hAnsi="Times New Roman" w:cs="Times New Roman"/>
          <w:b/>
          <w:bCs/>
          <w:sz w:val="24"/>
          <w:szCs w:val="24"/>
          <w:lang w:val="en-GB"/>
        </w:rPr>
        <w:t>The role of well-being metrics</w:t>
      </w:r>
    </w:p>
    <w:p w14:paraId="132BFC00" w14:textId="77777777" w:rsidR="00AF2D2F" w:rsidRPr="001B6D13" w:rsidRDefault="00AF2D2F" w:rsidP="001B6D13">
      <w:pPr>
        <w:jc w:val="both"/>
        <w:rPr>
          <w:rFonts w:ascii="Times New Roman" w:hAnsi="Times New Roman" w:cs="Times New Roman"/>
          <w:sz w:val="24"/>
          <w:szCs w:val="24"/>
          <w:lang w:val="en-GB"/>
        </w:rPr>
      </w:pPr>
      <w:r w:rsidRPr="001B6D13">
        <w:rPr>
          <w:rFonts w:ascii="Times New Roman" w:hAnsi="Times New Roman" w:cs="Times New Roman"/>
          <w:sz w:val="24"/>
          <w:szCs w:val="24"/>
          <w:lang w:val="en-GB"/>
        </w:rPr>
        <w:t>Whereas GDP growth has conventionally been the core of policy discourse, there is academically and politically a shifting momentum toward well-being metrics. Well-being metrics are not about economic output; they go to the quality of life, proper access to basic services, environmental health, and social equity.</w:t>
      </w:r>
    </w:p>
    <w:p w14:paraId="6601D71E" w14:textId="6683EDE0" w:rsidR="00AF2D2F" w:rsidRPr="001B6D13" w:rsidRDefault="00DF5988" w:rsidP="001B6D13">
      <w:pPr>
        <w:jc w:val="both"/>
        <w:rPr>
          <w:rFonts w:ascii="Times New Roman" w:hAnsi="Times New Roman" w:cs="Times New Roman"/>
          <w:sz w:val="24"/>
          <w:szCs w:val="24"/>
          <w:lang w:val="en-GB"/>
        </w:rPr>
      </w:pPr>
      <w:r w:rsidRPr="001B6D13">
        <w:rPr>
          <w:rFonts w:ascii="Times New Roman" w:hAnsi="Times New Roman" w:cs="Times New Roman"/>
          <w:sz w:val="24"/>
          <w:szCs w:val="24"/>
          <w:lang w:val="en-GB"/>
        </w:rPr>
        <w:t>Behavioural</w:t>
      </w:r>
      <w:r w:rsidR="00AF2D2F" w:rsidRPr="001B6D13">
        <w:rPr>
          <w:rFonts w:ascii="Times New Roman" w:hAnsi="Times New Roman" w:cs="Times New Roman"/>
          <w:sz w:val="24"/>
          <w:szCs w:val="24"/>
          <w:lang w:val="en-GB"/>
        </w:rPr>
        <w:t xml:space="preserve"> economics and the study of happiness have also made it clear that above a certain threshold, increases in wealth do little to improve well-being (Easterlin</w:t>
      </w:r>
      <w:r w:rsidR="000F0F99">
        <w:rPr>
          <w:rFonts w:ascii="Times New Roman" w:hAnsi="Times New Roman" w:cs="Times New Roman"/>
          <w:sz w:val="24"/>
          <w:szCs w:val="24"/>
          <w:lang w:val="en-GB"/>
        </w:rPr>
        <w:t>,</w:t>
      </w:r>
      <w:r w:rsidR="00AF2D2F" w:rsidRPr="001B6D13">
        <w:rPr>
          <w:rFonts w:ascii="Times New Roman" w:hAnsi="Times New Roman" w:cs="Times New Roman"/>
          <w:sz w:val="24"/>
          <w:szCs w:val="24"/>
          <w:lang w:val="en-GB"/>
        </w:rPr>
        <w:t xml:space="preserve"> 1974).</w:t>
      </w:r>
      <w:r>
        <w:rPr>
          <w:rFonts w:ascii="Times New Roman" w:hAnsi="Times New Roman" w:cs="Times New Roman"/>
          <w:sz w:val="24"/>
          <w:szCs w:val="24"/>
          <w:lang w:val="en-GB"/>
        </w:rPr>
        <w:t xml:space="preserve"> </w:t>
      </w:r>
      <w:r w:rsidR="00AF2D2F" w:rsidRPr="001B6D13">
        <w:rPr>
          <w:rFonts w:ascii="Times New Roman" w:hAnsi="Times New Roman" w:cs="Times New Roman"/>
          <w:sz w:val="24"/>
          <w:szCs w:val="24"/>
          <w:lang w:val="en-GB"/>
        </w:rPr>
        <w:t xml:space="preserve">This fact has been referred to as the Easterlin Paradox because it suggests that, although income and consumption improve well-being to some extent, its effects are </w:t>
      </w:r>
      <w:r w:rsidR="000F0F99" w:rsidRPr="001B6D13">
        <w:rPr>
          <w:rFonts w:ascii="Times New Roman" w:hAnsi="Times New Roman" w:cs="Times New Roman"/>
          <w:sz w:val="24"/>
          <w:szCs w:val="24"/>
          <w:lang w:val="en-GB"/>
        </w:rPr>
        <w:t>levelled</w:t>
      </w:r>
      <w:r w:rsidR="00AF2D2F" w:rsidRPr="001B6D13">
        <w:rPr>
          <w:rFonts w:ascii="Times New Roman" w:hAnsi="Times New Roman" w:cs="Times New Roman"/>
          <w:sz w:val="24"/>
          <w:szCs w:val="24"/>
          <w:lang w:val="en-GB"/>
        </w:rPr>
        <w:t xml:space="preserve"> once material needs are satisfied. Improvements in the quality of life among people in high-income countries are more likely to depend on such things as improved healthcare, education, environmental quality, and social contact than from further income (Jackson 2009).</w:t>
      </w:r>
      <w:r>
        <w:rPr>
          <w:rFonts w:ascii="Times New Roman" w:hAnsi="Times New Roman" w:cs="Times New Roman"/>
          <w:sz w:val="24"/>
          <w:szCs w:val="24"/>
          <w:lang w:val="en-GB"/>
        </w:rPr>
        <w:t xml:space="preserve"> </w:t>
      </w:r>
      <w:r w:rsidR="00AF2D2F" w:rsidRPr="001B6D13">
        <w:rPr>
          <w:rFonts w:ascii="Times New Roman" w:hAnsi="Times New Roman" w:cs="Times New Roman"/>
          <w:sz w:val="24"/>
          <w:szCs w:val="24"/>
          <w:lang w:val="en-GB"/>
        </w:rPr>
        <w:t xml:space="preserve">The OECD’s Better Life Index is an example of how well-being can be measured </w:t>
      </w:r>
      <w:r w:rsidR="00AF2D2F" w:rsidRPr="001B6D13">
        <w:rPr>
          <w:rFonts w:ascii="Times New Roman" w:hAnsi="Times New Roman" w:cs="Times New Roman"/>
          <w:sz w:val="24"/>
          <w:szCs w:val="24"/>
          <w:lang w:val="en-GB"/>
        </w:rPr>
        <w:lastRenderedPageBreak/>
        <w:t>more comprehensively. This index includes factors such as income, housing, jobs, health, environment, education, and work-life balance to provide a holistic view of how well countries are serving their populations (OECD, 2020).</w:t>
      </w:r>
      <w:r>
        <w:rPr>
          <w:rFonts w:ascii="Times New Roman" w:hAnsi="Times New Roman" w:cs="Times New Roman"/>
          <w:sz w:val="24"/>
          <w:szCs w:val="24"/>
          <w:lang w:val="en-GB"/>
        </w:rPr>
        <w:t xml:space="preserve"> </w:t>
      </w:r>
      <w:r w:rsidR="00AF2D2F" w:rsidRPr="001B6D13">
        <w:rPr>
          <w:rFonts w:ascii="Times New Roman" w:hAnsi="Times New Roman" w:cs="Times New Roman"/>
          <w:sz w:val="24"/>
          <w:szCs w:val="24"/>
          <w:lang w:val="en-GB"/>
        </w:rPr>
        <w:t>Policies that focus on well-being rather than economic growth also offer insights into how societies can achieve environmental sustainability. For example, countries like Denmark and Finland have implemented policies that reduce working hours, improve access to education and health care, and transition towards renewable energy, demonstrating that high well-being is compatible with sustainable economic practices (Helliwell et al., 2020).</w:t>
      </w:r>
      <w:r w:rsidR="000F0F99">
        <w:rPr>
          <w:rFonts w:ascii="Times New Roman" w:hAnsi="Times New Roman" w:cs="Times New Roman"/>
          <w:sz w:val="24"/>
          <w:szCs w:val="24"/>
          <w:lang w:val="en-GB"/>
        </w:rPr>
        <w:t xml:space="preserve"> </w:t>
      </w:r>
      <w:r w:rsidR="00AF2D2F" w:rsidRPr="001B6D13">
        <w:rPr>
          <w:rFonts w:ascii="Times New Roman" w:hAnsi="Times New Roman" w:cs="Times New Roman"/>
          <w:sz w:val="24"/>
          <w:szCs w:val="24"/>
          <w:lang w:val="en-GB"/>
        </w:rPr>
        <w:t xml:space="preserve">Such economies were valuing well-being </w:t>
      </w:r>
      <w:r w:rsidR="000F0F99" w:rsidRPr="001B6D13">
        <w:rPr>
          <w:rFonts w:ascii="Times New Roman" w:hAnsi="Times New Roman" w:cs="Times New Roman"/>
          <w:sz w:val="24"/>
          <w:szCs w:val="24"/>
          <w:lang w:val="en-GB"/>
        </w:rPr>
        <w:t>overgrowth</w:t>
      </w:r>
      <w:r w:rsidR="00AF2D2F" w:rsidRPr="001B6D13">
        <w:rPr>
          <w:rFonts w:ascii="Times New Roman" w:hAnsi="Times New Roman" w:cs="Times New Roman"/>
          <w:sz w:val="24"/>
          <w:szCs w:val="24"/>
          <w:lang w:val="en-GB"/>
        </w:rPr>
        <w:t xml:space="preserve"> in GDP, thus representing models of a postgrowth economy in which happiness would be sustainable and equitably independent of continued material growth.</w:t>
      </w:r>
    </w:p>
    <w:p w14:paraId="6FA699CC" w14:textId="77777777" w:rsidR="00AF2D2F" w:rsidRPr="001B6D13" w:rsidRDefault="00AF2D2F" w:rsidP="001B6D13">
      <w:pPr>
        <w:jc w:val="both"/>
        <w:rPr>
          <w:rFonts w:ascii="Times New Roman" w:hAnsi="Times New Roman" w:cs="Times New Roman"/>
          <w:sz w:val="24"/>
          <w:szCs w:val="24"/>
          <w:lang w:val="en-GB"/>
        </w:rPr>
      </w:pPr>
    </w:p>
    <w:p w14:paraId="6EBA63A8" w14:textId="63641D6F" w:rsidR="00DF5988" w:rsidRPr="00DF5988" w:rsidRDefault="00AF2D2F" w:rsidP="00DF5988">
      <w:pPr>
        <w:pStyle w:val="ListParagraph"/>
        <w:numPr>
          <w:ilvl w:val="1"/>
          <w:numId w:val="1"/>
        </w:numPr>
        <w:jc w:val="both"/>
        <w:rPr>
          <w:rFonts w:ascii="Times New Roman" w:hAnsi="Times New Roman" w:cs="Times New Roman"/>
          <w:b/>
          <w:bCs/>
          <w:sz w:val="24"/>
          <w:szCs w:val="24"/>
          <w:lang w:val="en-GB"/>
        </w:rPr>
      </w:pPr>
      <w:r w:rsidRPr="00DF5988">
        <w:rPr>
          <w:rFonts w:ascii="Times New Roman" w:hAnsi="Times New Roman" w:cs="Times New Roman"/>
          <w:b/>
          <w:bCs/>
          <w:sz w:val="24"/>
          <w:szCs w:val="24"/>
          <w:lang w:val="en-GB"/>
        </w:rPr>
        <w:t xml:space="preserve">Socioeconomic Reforms toward a Postgrowth Economy </w:t>
      </w:r>
    </w:p>
    <w:p w14:paraId="656729A2" w14:textId="28340541" w:rsidR="00AF2D2F" w:rsidRPr="001B6D13" w:rsidRDefault="00AF2D2F" w:rsidP="001B6D13">
      <w:pPr>
        <w:jc w:val="both"/>
        <w:rPr>
          <w:rFonts w:ascii="Times New Roman" w:hAnsi="Times New Roman" w:cs="Times New Roman"/>
          <w:sz w:val="24"/>
          <w:szCs w:val="24"/>
          <w:lang w:val="en-GB"/>
        </w:rPr>
      </w:pPr>
      <w:r w:rsidRPr="001B6D13">
        <w:rPr>
          <w:rFonts w:ascii="Times New Roman" w:hAnsi="Times New Roman" w:cs="Times New Roman"/>
          <w:sz w:val="24"/>
          <w:szCs w:val="24"/>
          <w:lang w:val="en-GB"/>
        </w:rPr>
        <w:t>The radical reforms that are needed in most of these critical dimensions  should be oriented in the direction of the twofold objective: uncoupling economic activity from environmental degradation and simultaneously reducing inequality and increasing wellbeing. Some concrete proposals that would make possible such a transition are the following:.</w:t>
      </w:r>
    </w:p>
    <w:p w14:paraId="46D4A327" w14:textId="77777777" w:rsidR="000F0F99" w:rsidRDefault="00AF2D2F" w:rsidP="001B6D13">
      <w:pPr>
        <w:jc w:val="both"/>
        <w:rPr>
          <w:rFonts w:ascii="Times New Roman" w:hAnsi="Times New Roman" w:cs="Times New Roman"/>
          <w:sz w:val="24"/>
          <w:szCs w:val="24"/>
          <w:lang w:val="en-GB"/>
        </w:rPr>
      </w:pPr>
      <w:r w:rsidRPr="00DF5988">
        <w:rPr>
          <w:rFonts w:ascii="Times New Roman" w:hAnsi="Times New Roman" w:cs="Times New Roman"/>
          <w:b/>
          <w:bCs/>
          <w:i/>
          <w:iCs/>
          <w:sz w:val="24"/>
          <w:szCs w:val="24"/>
          <w:lang w:val="en-GB"/>
        </w:rPr>
        <w:t>Universal Basic Services (UBS):</w:t>
      </w:r>
      <w:r w:rsidRPr="001B6D13">
        <w:rPr>
          <w:rFonts w:ascii="Times New Roman" w:hAnsi="Times New Roman" w:cs="Times New Roman"/>
          <w:sz w:val="24"/>
          <w:szCs w:val="24"/>
          <w:lang w:val="en-GB"/>
        </w:rPr>
        <w:t xml:space="preserve"> UBS aims to provide essential services, such as healthcare, education, housing, and public transportation, free at the point of use and funded through progressive taxation (Coote &amp; Percy, 2020). By focusing on providing basic needs universally, UBS reduces reliance on individual consumption for well-being, ensuring that everyone has access to the resources necessary for a decent quality of life.</w:t>
      </w:r>
      <w:r w:rsidR="00DF5988">
        <w:rPr>
          <w:rFonts w:ascii="Times New Roman" w:hAnsi="Times New Roman" w:cs="Times New Roman"/>
          <w:sz w:val="24"/>
          <w:szCs w:val="24"/>
          <w:lang w:val="en-GB"/>
        </w:rPr>
        <w:t xml:space="preserve"> </w:t>
      </w:r>
      <w:r w:rsidRPr="001B6D13">
        <w:rPr>
          <w:rFonts w:ascii="Times New Roman" w:hAnsi="Times New Roman" w:cs="Times New Roman"/>
          <w:sz w:val="24"/>
          <w:szCs w:val="24"/>
          <w:lang w:val="en-GB"/>
        </w:rPr>
        <w:t xml:space="preserve">This meets the degrowth principles since it increases social equity and decreases material throughput. </w:t>
      </w:r>
    </w:p>
    <w:p w14:paraId="58BDE2E7" w14:textId="24CF7BFF" w:rsidR="00AF2D2F" w:rsidRPr="001B6D13" w:rsidRDefault="00AF2D2F" w:rsidP="001B6D13">
      <w:pPr>
        <w:jc w:val="both"/>
        <w:rPr>
          <w:rFonts w:ascii="Times New Roman" w:hAnsi="Times New Roman" w:cs="Times New Roman"/>
          <w:sz w:val="24"/>
          <w:szCs w:val="24"/>
          <w:lang w:val="en-GB"/>
        </w:rPr>
      </w:pPr>
      <w:r w:rsidRPr="000F0F99">
        <w:rPr>
          <w:rFonts w:ascii="Times New Roman" w:hAnsi="Times New Roman" w:cs="Times New Roman"/>
          <w:b/>
          <w:bCs/>
          <w:i/>
          <w:iCs/>
          <w:sz w:val="24"/>
          <w:szCs w:val="24"/>
          <w:lang w:val="en-GB"/>
        </w:rPr>
        <w:t>Work-Time Reduction:</w:t>
      </w:r>
      <w:r w:rsidRPr="001B6D13">
        <w:rPr>
          <w:rFonts w:ascii="Times New Roman" w:hAnsi="Times New Roman" w:cs="Times New Roman"/>
          <w:sz w:val="24"/>
          <w:szCs w:val="24"/>
          <w:lang w:val="en-GB"/>
        </w:rPr>
        <w:t xml:space="preserve"> As discussed in previous chapters, reducing working hours is a crucial strategy for both improving well-being and reducing environmental impact. Countries like France, which implemented a 35-hour workweek, provide valuable lessons in how work-time reductions can be managed to prevent job losses while improving work-life balance (Kallis, 2011). Reduced working hours also offer opportunities for greater engagement in community activities, education, and leisure, promoting a richer quality of life beyond consumerism.</w:t>
      </w:r>
    </w:p>
    <w:p w14:paraId="21452B51" w14:textId="5B0071C6" w:rsidR="00AF2D2F" w:rsidRPr="001B6D13" w:rsidRDefault="00AF2D2F" w:rsidP="001B6D13">
      <w:pPr>
        <w:jc w:val="both"/>
        <w:rPr>
          <w:rFonts w:ascii="Times New Roman" w:hAnsi="Times New Roman" w:cs="Times New Roman"/>
          <w:sz w:val="24"/>
          <w:szCs w:val="24"/>
          <w:lang w:val="en-GB"/>
        </w:rPr>
      </w:pPr>
      <w:r w:rsidRPr="00DF5988">
        <w:rPr>
          <w:rFonts w:ascii="Times New Roman" w:hAnsi="Times New Roman" w:cs="Times New Roman"/>
          <w:b/>
          <w:bCs/>
          <w:i/>
          <w:iCs/>
          <w:sz w:val="24"/>
          <w:szCs w:val="24"/>
          <w:lang w:val="en-GB"/>
        </w:rPr>
        <w:t>Green New Deal:</w:t>
      </w:r>
      <w:r w:rsidRPr="001B6D13">
        <w:rPr>
          <w:rFonts w:ascii="Times New Roman" w:hAnsi="Times New Roman" w:cs="Times New Roman"/>
          <w:sz w:val="24"/>
          <w:szCs w:val="24"/>
          <w:lang w:val="en-GB"/>
        </w:rPr>
        <w:t xml:space="preserve"> The Green New Deal proposes an ambitious investment plan in renewable energies, public infrastructure, and ecological restoration. Considered an idea with much more in sight than merely transitioning to clean energy, being debated both in Europe and in the United States, it promises to create jobs, reduce inequality, and build resilience against climate change (Aronoff et al., 2019).</w:t>
      </w:r>
      <w:r w:rsidR="00DF5988">
        <w:rPr>
          <w:rFonts w:ascii="Times New Roman" w:hAnsi="Times New Roman" w:cs="Times New Roman"/>
          <w:sz w:val="24"/>
          <w:szCs w:val="24"/>
          <w:lang w:val="en-GB"/>
        </w:rPr>
        <w:t xml:space="preserve"> </w:t>
      </w:r>
      <w:r w:rsidRPr="001B6D13">
        <w:rPr>
          <w:rFonts w:ascii="Times New Roman" w:hAnsi="Times New Roman" w:cs="Times New Roman"/>
          <w:sz w:val="24"/>
          <w:szCs w:val="24"/>
          <w:lang w:val="en-GB"/>
        </w:rPr>
        <w:t xml:space="preserve">The Green New Deal is one </w:t>
      </w:r>
      <w:r w:rsidRPr="001B6D13">
        <w:rPr>
          <w:rFonts w:ascii="Times New Roman" w:hAnsi="Times New Roman" w:cs="Times New Roman"/>
          <w:sz w:val="24"/>
          <w:szCs w:val="24"/>
          <w:lang w:val="en-GB"/>
        </w:rPr>
        <w:lastRenderedPageBreak/>
        <w:t>important step toward a postgrowth economy in the way that it places sustainable development above growth premised on fossil fuels.</w:t>
      </w:r>
    </w:p>
    <w:p w14:paraId="6CB2BACA" w14:textId="7F1B59CB" w:rsidR="00AF2D2F" w:rsidRPr="001B6D13" w:rsidRDefault="00AF2D2F" w:rsidP="001B6D13">
      <w:pPr>
        <w:jc w:val="both"/>
        <w:rPr>
          <w:rFonts w:ascii="Times New Roman" w:hAnsi="Times New Roman" w:cs="Times New Roman"/>
          <w:sz w:val="24"/>
          <w:szCs w:val="24"/>
          <w:lang w:val="en-GB"/>
        </w:rPr>
      </w:pPr>
      <w:r w:rsidRPr="00DF5988">
        <w:rPr>
          <w:rFonts w:ascii="Times New Roman" w:hAnsi="Times New Roman" w:cs="Times New Roman"/>
          <w:b/>
          <w:bCs/>
          <w:i/>
          <w:iCs/>
          <w:sz w:val="24"/>
          <w:szCs w:val="24"/>
          <w:lang w:val="en-GB"/>
        </w:rPr>
        <w:t>Circular Economy and Localism:</w:t>
      </w:r>
      <w:r w:rsidRPr="001B6D13">
        <w:rPr>
          <w:rFonts w:ascii="Times New Roman" w:hAnsi="Times New Roman" w:cs="Times New Roman"/>
          <w:sz w:val="24"/>
          <w:szCs w:val="24"/>
          <w:lang w:val="en-GB"/>
        </w:rPr>
        <w:t xml:space="preserve"> The adoption of circular economy principles, where waste is minimized through recycling, reuse, and sustainable product design, aligns with degrowth strategies. By reducing resource extraction and promoting more durable goods, circular economies can help decouple economic activity from environmental destruction (Ellen MacArthur Foundation, 2015). Moreover, localism—the promotion of local economies—can enhance community resilience and reduce the carbon footprint of long-distance trade.</w:t>
      </w:r>
    </w:p>
    <w:p w14:paraId="1FB4BCEA" w14:textId="77777777" w:rsidR="00AF2D2F" w:rsidRPr="001B6D13" w:rsidRDefault="00AF2D2F" w:rsidP="001B6D13">
      <w:pPr>
        <w:jc w:val="both"/>
        <w:rPr>
          <w:rFonts w:ascii="Times New Roman" w:hAnsi="Times New Roman" w:cs="Times New Roman"/>
          <w:sz w:val="24"/>
          <w:szCs w:val="24"/>
          <w:lang w:val="en-GB"/>
        </w:rPr>
      </w:pPr>
      <w:r w:rsidRPr="00DF5988">
        <w:rPr>
          <w:rFonts w:ascii="Times New Roman" w:hAnsi="Times New Roman" w:cs="Times New Roman"/>
          <w:b/>
          <w:bCs/>
          <w:i/>
          <w:iCs/>
          <w:sz w:val="24"/>
          <w:szCs w:val="24"/>
          <w:lang w:val="en-GB"/>
        </w:rPr>
        <w:t>Redistributive Approach:</w:t>
      </w:r>
      <w:r w:rsidRPr="001B6D13">
        <w:rPr>
          <w:rFonts w:ascii="Times New Roman" w:hAnsi="Times New Roman" w:cs="Times New Roman"/>
          <w:sz w:val="24"/>
          <w:szCs w:val="24"/>
          <w:lang w:val="en-GB"/>
        </w:rPr>
        <w:t xml:space="preserve"> The reduction of inequality is a core objective of all post-growth economic models. Progressive taxation, wealth taxes, and universal basic income are some of the mechanisms that could be used to distribute wealth in a more equitable manner within society. In fact, according to Piketty (2014), such redistributive measures reduce not only social injustice but also the pressure for continuous economic growth to meet the consumption needs of the rich elite.</w:t>
      </w:r>
    </w:p>
    <w:p w14:paraId="73C01547" w14:textId="77777777" w:rsidR="00AF2D2F" w:rsidRPr="001B6D13" w:rsidRDefault="00AF2D2F" w:rsidP="001B6D13">
      <w:pPr>
        <w:jc w:val="both"/>
        <w:rPr>
          <w:rFonts w:ascii="Times New Roman" w:hAnsi="Times New Roman" w:cs="Times New Roman"/>
          <w:sz w:val="24"/>
          <w:szCs w:val="24"/>
          <w:lang w:val="en-GB"/>
        </w:rPr>
      </w:pPr>
    </w:p>
    <w:p w14:paraId="2AFD2E72" w14:textId="66E67F4F" w:rsidR="00AF2D2F" w:rsidRPr="00DF5988" w:rsidRDefault="00AF2D2F" w:rsidP="00DF5988">
      <w:pPr>
        <w:pStyle w:val="ListParagraph"/>
        <w:numPr>
          <w:ilvl w:val="1"/>
          <w:numId w:val="1"/>
        </w:numPr>
        <w:jc w:val="both"/>
        <w:rPr>
          <w:rFonts w:ascii="Times New Roman" w:hAnsi="Times New Roman" w:cs="Times New Roman"/>
          <w:b/>
          <w:bCs/>
          <w:sz w:val="24"/>
          <w:szCs w:val="24"/>
          <w:lang w:val="en-GB"/>
        </w:rPr>
      </w:pPr>
      <w:r w:rsidRPr="00DF5988">
        <w:rPr>
          <w:rFonts w:ascii="Times New Roman" w:hAnsi="Times New Roman" w:cs="Times New Roman"/>
          <w:b/>
          <w:bCs/>
          <w:sz w:val="24"/>
          <w:szCs w:val="24"/>
          <w:lang w:val="en-GB"/>
        </w:rPr>
        <w:t xml:space="preserve">Changes in Culture and </w:t>
      </w:r>
      <w:r w:rsidR="000F0F99" w:rsidRPr="00DF5988">
        <w:rPr>
          <w:rFonts w:ascii="Times New Roman" w:hAnsi="Times New Roman" w:cs="Times New Roman"/>
          <w:b/>
          <w:bCs/>
          <w:sz w:val="24"/>
          <w:szCs w:val="24"/>
          <w:lang w:val="en-GB"/>
        </w:rPr>
        <w:t>Behaviour</w:t>
      </w:r>
    </w:p>
    <w:p w14:paraId="18CBDC57" w14:textId="77777777" w:rsidR="000F0F99" w:rsidRDefault="00AF2D2F" w:rsidP="001B6D13">
      <w:pPr>
        <w:jc w:val="both"/>
        <w:rPr>
          <w:rFonts w:ascii="Times New Roman" w:hAnsi="Times New Roman" w:cs="Times New Roman"/>
          <w:sz w:val="24"/>
          <w:szCs w:val="24"/>
          <w:lang w:val="en-GB"/>
        </w:rPr>
      </w:pPr>
      <w:r w:rsidRPr="001B6D13">
        <w:rPr>
          <w:rFonts w:ascii="Times New Roman" w:hAnsi="Times New Roman" w:cs="Times New Roman"/>
          <w:sz w:val="24"/>
          <w:szCs w:val="24"/>
          <w:lang w:val="en-GB"/>
        </w:rPr>
        <w:t xml:space="preserve">Besides structural economic reforms, a post-growth economy will entail changes in culture, far from superficial. First of all, the entrenchment of consumerism into most societies is steep, with the pursuit of material goods equated with success and happiness. It is a mentality that will be really hard to change, and will require both top-bottom and bottom-top approaches, such as: </w:t>
      </w:r>
    </w:p>
    <w:p w14:paraId="64E1C60E" w14:textId="77777777" w:rsidR="000F0F99" w:rsidRDefault="00AF2D2F" w:rsidP="001B6D13">
      <w:pPr>
        <w:jc w:val="both"/>
        <w:rPr>
          <w:rFonts w:ascii="Times New Roman" w:hAnsi="Times New Roman" w:cs="Times New Roman"/>
          <w:sz w:val="24"/>
          <w:szCs w:val="24"/>
          <w:lang w:val="en-GB"/>
        </w:rPr>
      </w:pPr>
      <w:r w:rsidRPr="000F0F99">
        <w:rPr>
          <w:rFonts w:ascii="Times New Roman" w:hAnsi="Times New Roman" w:cs="Times New Roman"/>
          <w:b/>
          <w:bCs/>
          <w:i/>
          <w:iCs/>
          <w:sz w:val="24"/>
          <w:szCs w:val="24"/>
          <w:lang w:val="en-GB"/>
        </w:rPr>
        <w:t>Education and Awareness:</w:t>
      </w:r>
      <w:r w:rsidRPr="001B6D13">
        <w:rPr>
          <w:rFonts w:ascii="Times New Roman" w:hAnsi="Times New Roman" w:cs="Times New Roman"/>
          <w:sz w:val="24"/>
          <w:szCs w:val="24"/>
          <w:lang w:val="en-GB"/>
        </w:rPr>
        <w:t xml:space="preserve"> Active participation by governments, educational institutions, and the media would provide one with knowledge of sustainability, community values, and alternative measures of success. It might be carried out as public campaigns aimed at raising awareness about the environmental and social cost of consumerism and the personal and social benefit emanating from sustainable lifestyles. </w:t>
      </w:r>
    </w:p>
    <w:p w14:paraId="566EB5DD" w14:textId="77777777" w:rsidR="000F0F99" w:rsidRDefault="00AF2D2F" w:rsidP="001B6D13">
      <w:pPr>
        <w:jc w:val="both"/>
        <w:rPr>
          <w:rFonts w:ascii="Times New Roman" w:hAnsi="Times New Roman" w:cs="Times New Roman"/>
          <w:sz w:val="24"/>
          <w:szCs w:val="24"/>
          <w:lang w:val="en-GB"/>
        </w:rPr>
      </w:pPr>
      <w:r w:rsidRPr="000F0F99">
        <w:rPr>
          <w:rFonts w:ascii="Times New Roman" w:hAnsi="Times New Roman" w:cs="Times New Roman"/>
          <w:b/>
          <w:bCs/>
          <w:i/>
          <w:iCs/>
          <w:sz w:val="24"/>
          <w:szCs w:val="24"/>
          <w:lang w:val="en-GB"/>
        </w:rPr>
        <w:t>Community-Based Initiatives:</w:t>
      </w:r>
      <w:r w:rsidRPr="001B6D13">
        <w:rPr>
          <w:rFonts w:ascii="Times New Roman" w:hAnsi="Times New Roman" w:cs="Times New Roman"/>
          <w:sz w:val="24"/>
          <w:szCs w:val="24"/>
          <w:lang w:val="en-GB"/>
        </w:rPr>
        <w:t xml:space="preserve"> The grassroots movement of the Transition Towns movement is representative of one community taking responsibility for its ecological footprint through sustainable living and building resilience. These grassroots movements help in the shift toward shared economies, local production, and self-sufficiency in ways congruent with degrowth (Hopkins, 2011). </w:t>
      </w:r>
    </w:p>
    <w:p w14:paraId="30BC219B" w14:textId="77B24073" w:rsidR="00AF2D2F" w:rsidRPr="001B6D13" w:rsidRDefault="00AF2D2F" w:rsidP="001B6D13">
      <w:pPr>
        <w:jc w:val="both"/>
        <w:rPr>
          <w:rFonts w:ascii="Times New Roman" w:hAnsi="Times New Roman" w:cs="Times New Roman"/>
          <w:sz w:val="24"/>
          <w:szCs w:val="24"/>
          <w:lang w:val="en-GB"/>
        </w:rPr>
      </w:pPr>
      <w:r w:rsidRPr="000F0F99">
        <w:rPr>
          <w:rFonts w:ascii="Times New Roman" w:hAnsi="Times New Roman" w:cs="Times New Roman"/>
          <w:b/>
          <w:bCs/>
          <w:i/>
          <w:iCs/>
          <w:sz w:val="24"/>
          <w:szCs w:val="24"/>
          <w:lang w:val="en-GB"/>
        </w:rPr>
        <w:t xml:space="preserve">Behavioural </w:t>
      </w:r>
      <w:r w:rsidR="000F0F99" w:rsidRPr="000F0F99">
        <w:rPr>
          <w:rFonts w:ascii="Times New Roman" w:hAnsi="Times New Roman" w:cs="Times New Roman"/>
          <w:b/>
          <w:bCs/>
          <w:i/>
          <w:iCs/>
          <w:sz w:val="24"/>
          <w:szCs w:val="24"/>
          <w:lang w:val="en-GB"/>
        </w:rPr>
        <w:t>Change:</w:t>
      </w:r>
      <w:r w:rsidRPr="001B6D13">
        <w:rPr>
          <w:rFonts w:ascii="Times New Roman" w:hAnsi="Times New Roman" w:cs="Times New Roman"/>
          <w:sz w:val="24"/>
          <w:szCs w:val="24"/>
          <w:lang w:val="en-GB"/>
        </w:rPr>
        <w:t xml:space="preserve"> Disclosed changes in consumption modes; for instance, sustainable food consumption-replacing traditional animal-based diets with plant-based diets, reduction of energy use, and basing life on experiences and relationships rather than material goods. Key in reducing wealthy societies' ecological footprint, these are crucial when applied on a large scale.</w:t>
      </w:r>
    </w:p>
    <w:p w14:paraId="4F0C337C" w14:textId="02645C8B" w:rsidR="00DF5988" w:rsidRPr="00E2318C" w:rsidRDefault="00A149E1" w:rsidP="00DF5988">
      <w:pPr>
        <w:pStyle w:val="ListParagraph"/>
        <w:numPr>
          <w:ilvl w:val="0"/>
          <w:numId w:val="1"/>
        </w:numPr>
        <w:jc w:val="both"/>
        <w:rPr>
          <w:rFonts w:ascii="Times New Roman" w:hAnsi="Times New Roman" w:cs="Times New Roman"/>
          <w:b/>
          <w:bCs/>
          <w:sz w:val="28"/>
          <w:szCs w:val="28"/>
          <w:lang w:val="en-GB"/>
        </w:rPr>
      </w:pPr>
      <w:r w:rsidRPr="00E2318C">
        <w:rPr>
          <w:rFonts w:ascii="Times New Roman" w:hAnsi="Times New Roman" w:cs="Times New Roman"/>
          <w:b/>
          <w:bCs/>
          <w:sz w:val="28"/>
          <w:szCs w:val="28"/>
          <w:lang w:val="en-GB"/>
        </w:rPr>
        <w:lastRenderedPageBreak/>
        <w:t>Conclusion</w:t>
      </w:r>
    </w:p>
    <w:p w14:paraId="3F0E2AB0" w14:textId="489B7D95" w:rsidR="00A149E1" w:rsidRPr="001B6D13" w:rsidRDefault="00A149E1" w:rsidP="001B6D13">
      <w:pPr>
        <w:jc w:val="both"/>
        <w:rPr>
          <w:rFonts w:ascii="Times New Roman" w:hAnsi="Times New Roman" w:cs="Times New Roman"/>
          <w:sz w:val="24"/>
          <w:szCs w:val="24"/>
          <w:lang w:val="en-GB"/>
        </w:rPr>
      </w:pPr>
      <w:r w:rsidRPr="001B6D13">
        <w:rPr>
          <w:rFonts w:ascii="Times New Roman" w:hAnsi="Times New Roman" w:cs="Times New Roman"/>
          <w:sz w:val="24"/>
          <w:szCs w:val="24"/>
          <w:lang w:val="en-GB"/>
        </w:rPr>
        <w:t xml:space="preserve">This article has reflected on the infinite growth paradigm by critically discussing its limits with relevance to the Anthropocene, or the era marked by mankind's </w:t>
      </w:r>
      <w:r w:rsidR="00DF5988" w:rsidRPr="001B6D13">
        <w:rPr>
          <w:rFonts w:ascii="Times New Roman" w:hAnsi="Times New Roman" w:cs="Times New Roman"/>
          <w:sz w:val="24"/>
          <w:szCs w:val="24"/>
          <w:lang w:val="en-GB"/>
        </w:rPr>
        <w:t>overwhelming</w:t>
      </w:r>
      <w:r w:rsidRPr="001B6D13">
        <w:rPr>
          <w:rFonts w:ascii="Times New Roman" w:hAnsi="Times New Roman" w:cs="Times New Roman"/>
          <w:sz w:val="24"/>
          <w:szCs w:val="24"/>
          <w:lang w:val="en-GB"/>
        </w:rPr>
        <w:t xml:space="preserve"> impact on Earth's ecosystems. The dominant economic paradigm-as Heilbronner reminds us-is conventionally underpinned by neoclassical economics and takes the view that continuous growth is feasible as well as necessary for human development. In reality, this has turned out to be a model that is both ecologically unfeasible and social unequitable. The planetary boundaries framework of </w:t>
      </w:r>
      <w:proofErr w:type="spellStart"/>
      <w:r w:rsidRPr="001B6D13">
        <w:rPr>
          <w:rFonts w:ascii="Times New Roman" w:hAnsi="Times New Roman" w:cs="Times New Roman"/>
          <w:sz w:val="24"/>
          <w:szCs w:val="24"/>
          <w:lang w:val="en-GB"/>
        </w:rPr>
        <w:t>Rockström</w:t>
      </w:r>
      <w:proofErr w:type="spellEnd"/>
      <w:r w:rsidRPr="001B6D13">
        <w:rPr>
          <w:rFonts w:ascii="Times New Roman" w:hAnsi="Times New Roman" w:cs="Times New Roman"/>
          <w:sz w:val="24"/>
          <w:szCs w:val="24"/>
          <w:lang w:val="en-GB"/>
        </w:rPr>
        <w:t xml:space="preserve"> et al.</w:t>
      </w:r>
      <w:r w:rsidR="00DF5988">
        <w:rPr>
          <w:rFonts w:ascii="Times New Roman" w:hAnsi="Times New Roman" w:cs="Times New Roman"/>
          <w:sz w:val="24"/>
          <w:szCs w:val="24"/>
          <w:lang w:val="en-GB"/>
        </w:rPr>
        <w:t xml:space="preserve"> </w:t>
      </w:r>
      <w:r w:rsidRPr="001B6D13">
        <w:rPr>
          <w:rFonts w:ascii="Times New Roman" w:hAnsi="Times New Roman" w:cs="Times New Roman"/>
          <w:sz w:val="24"/>
          <w:szCs w:val="24"/>
          <w:lang w:val="en-GB"/>
        </w:rPr>
        <w:t>(2009) underlined the fact that growth-driven economies have already violated their natural boundaries in critical thresholds related to climate change, loss of biodiversity, and freshwater use.</w:t>
      </w:r>
      <w:r w:rsidR="00DF5988">
        <w:rPr>
          <w:rFonts w:ascii="Times New Roman" w:hAnsi="Times New Roman" w:cs="Times New Roman"/>
          <w:sz w:val="24"/>
          <w:szCs w:val="24"/>
          <w:lang w:val="en-GB"/>
        </w:rPr>
        <w:t xml:space="preserve"> </w:t>
      </w:r>
      <w:r w:rsidRPr="001B6D13">
        <w:rPr>
          <w:rFonts w:ascii="Times New Roman" w:hAnsi="Times New Roman" w:cs="Times New Roman"/>
          <w:sz w:val="24"/>
          <w:szCs w:val="24"/>
          <w:lang w:val="en-GB"/>
        </w:rPr>
        <w:t>It also brought out or demonstrated how growth is dispersed inequitable, with the rich becoming richer, hence increasing disparities both internally and between countries. For example, the negative environmental impact brought about by industrial growth-which was driven by the Global North-is mainly taken upon by the Global South (Martinez-Alier, 2002). The ideas of ecological debt and environmental justice are important in deciphering unequal dispersions of negative impact brought forth by economic growth (Pellow, 2018).</w:t>
      </w:r>
    </w:p>
    <w:p w14:paraId="148EDAAC" w14:textId="77777777" w:rsidR="00A149E1" w:rsidRPr="001B6D13" w:rsidRDefault="00A149E1" w:rsidP="001B6D13">
      <w:pPr>
        <w:jc w:val="both"/>
        <w:rPr>
          <w:rFonts w:ascii="Times New Roman" w:hAnsi="Times New Roman" w:cs="Times New Roman"/>
          <w:sz w:val="24"/>
          <w:szCs w:val="24"/>
          <w:lang w:val="en-GB"/>
        </w:rPr>
      </w:pPr>
      <w:r w:rsidRPr="001B6D13">
        <w:rPr>
          <w:rFonts w:ascii="Times New Roman" w:hAnsi="Times New Roman" w:cs="Times New Roman"/>
          <w:sz w:val="24"/>
          <w:szCs w:val="24"/>
          <w:lang w:val="en-GB"/>
        </w:rPr>
        <w:t>Instead, the concept of degrowth hopes that a reduction in material and energy throughput in high-income countries is needed to achieve sustainability, social equity, and increasing well-being. Degrowth contrasts with views on the necessity of economic growth for societal welfare and, on the contrary, makes the case that prosperity can be decoupled from material accumulation. The implementation of universal basic services, work-time reduction, and a Green New Deal reflects practical approaches that align with the degrowth agenda, shifting the focus from economic output to human and ecological well-being (Coote &amp; Percy, 2020; Aronoff et al., 2019).</w:t>
      </w:r>
    </w:p>
    <w:p w14:paraId="4767AAB0" w14:textId="77777777" w:rsidR="00A149E1" w:rsidRPr="001B6D13" w:rsidRDefault="00A149E1" w:rsidP="001B6D13">
      <w:pPr>
        <w:jc w:val="both"/>
        <w:rPr>
          <w:rFonts w:ascii="Times New Roman" w:hAnsi="Times New Roman" w:cs="Times New Roman"/>
          <w:sz w:val="24"/>
          <w:szCs w:val="24"/>
          <w:lang w:val="en-GB"/>
        </w:rPr>
      </w:pPr>
    </w:p>
    <w:p w14:paraId="6F0BF03C" w14:textId="6BEF5B66" w:rsidR="00A149E1" w:rsidRPr="00DF5988" w:rsidRDefault="00A149E1" w:rsidP="00DF5988">
      <w:pPr>
        <w:pStyle w:val="ListParagraph"/>
        <w:numPr>
          <w:ilvl w:val="1"/>
          <w:numId w:val="1"/>
        </w:numPr>
        <w:jc w:val="both"/>
        <w:rPr>
          <w:rFonts w:ascii="Times New Roman" w:hAnsi="Times New Roman" w:cs="Times New Roman"/>
          <w:b/>
          <w:bCs/>
          <w:sz w:val="24"/>
          <w:szCs w:val="24"/>
          <w:lang w:val="en-GB"/>
        </w:rPr>
      </w:pPr>
      <w:r w:rsidRPr="00DF5988">
        <w:rPr>
          <w:rFonts w:ascii="Times New Roman" w:hAnsi="Times New Roman" w:cs="Times New Roman"/>
          <w:b/>
          <w:bCs/>
          <w:sz w:val="24"/>
          <w:szCs w:val="24"/>
          <w:lang w:val="en-GB"/>
        </w:rPr>
        <w:t>Future Directions of Economic Philosophy</w:t>
      </w:r>
    </w:p>
    <w:p w14:paraId="33F0BD0B" w14:textId="77777777" w:rsidR="000F0F99" w:rsidRDefault="00A149E1" w:rsidP="001B6D13">
      <w:pPr>
        <w:jc w:val="both"/>
        <w:rPr>
          <w:rFonts w:ascii="Times New Roman" w:hAnsi="Times New Roman" w:cs="Times New Roman"/>
          <w:sz w:val="24"/>
          <w:szCs w:val="24"/>
          <w:lang w:val="en-GB"/>
        </w:rPr>
      </w:pPr>
      <w:r w:rsidRPr="001B6D13">
        <w:rPr>
          <w:rFonts w:ascii="Times New Roman" w:hAnsi="Times New Roman" w:cs="Times New Roman"/>
          <w:sz w:val="24"/>
          <w:szCs w:val="24"/>
          <w:lang w:val="en-GB"/>
        </w:rPr>
        <w:t xml:space="preserve">The 21st-century challenge is to construct new economic models that are in respect to Earth's ecological limit, boost social justice, and welfare. In the Anthropocene, a shift is required from the traditional growth-oriented mindset into one that encompasses ecological economics, </w:t>
      </w:r>
      <w:r w:rsidR="00E2318C" w:rsidRPr="001B6D13">
        <w:rPr>
          <w:rFonts w:ascii="Times New Roman" w:hAnsi="Times New Roman" w:cs="Times New Roman"/>
          <w:sz w:val="24"/>
          <w:szCs w:val="24"/>
          <w:lang w:val="en-GB"/>
        </w:rPr>
        <w:t>behavioural</w:t>
      </w:r>
      <w:r w:rsidRPr="001B6D13">
        <w:rPr>
          <w:rFonts w:ascii="Times New Roman" w:hAnsi="Times New Roman" w:cs="Times New Roman"/>
          <w:sz w:val="24"/>
          <w:szCs w:val="24"/>
          <w:lang w:val="en-GB"/>
        </w:rPr>
        <w:t xml:space="preserve"> economics, and political ecology. Interdisciplinary approaches acknowledge that the economy is indeed subordinate to the biosphere, taking into consideration its limiting parameters (Daly, 1996). Degrowth might be radical, but it is integral to that change. </w:t>
      </w:r>
    </w:p>
    <w:p w14:paraId="453C73F5" w14:textId="442754E5" w:rsidR="00A149E1" w:rsidRPr="001B6D13" w:rsidRDefault="00A149E1" w:rsidP="001B6D13">
      <w:pPr>
        <w:jc w:val="both"/>
        <w:rPr>
          <w:rFonts w:ascii="Times New Roman" w:hAnsi="Times New Roman" w:cs="Times New Roman"/>
          <w:sz w:val="24"/>
          <w:szCs w:val="24"/>
          <w:lang w:val="en-GB"/>
        </w:rPr>
      </w:pPr>
      <w:r w:rsidRPr="001B6D13">
        <w:rPr>
          <w:rFonts w:ascii="Times New Roman" w:hAnsi="Times New Roman" w:cs="Times New Roman"/>
          <w:sz w:val="24"/>
          <w:szCs w:val="24"/>
          <w:lang w:val="en-GB"/>
        </w:rPr>
        <w:t>Degrowth indeed offers a way out through the reallocation of resources, reduction in overconsumption, and shifting of focus to non-material markers of achievement which include happiness, community resilience, and ecological health. Whatever the case, such transition to postgrowth faces grave political, social, and cultural obstacles.</w:t>
      </w:r>
    </w:p>
    <w:p w14:paraId="43B03792" w14:textId="49C0A17F" w:rsidR="00A149E1" w:rsidRPr="00DF5988" w:rsidRDefault="00A149E1" w:rsidP="00DF5988">
      <w:pPr>
        <w:pStyle w:val="ListParagraph"/>
        <w:numPr>
          <w:ilvl w:val="1"/>
          <w:numId w:val="1"/>
        </w:numPr>
        <w:jc w:val="both"/>
        <w:rPr>
          <w:rFonts w:ascii="Times New Roman" w:hAnsi="Times New Roman" w:cs="Times New Roman"/>
          <w:b/>
          <w:bCs/>
          <w:sz w:val="24"/>
          <w:szCs w:val="24"/>
          <w:lang w:val="en-GB"/>
        </w:rPr>
      </w:pPr>
      <w:r w:rsidRPr="00DF5988">
        <w:rPr>
          <w:rFonts w:ascii="Times New Roman" w:hAnsi="Times New Roman" w:cs="Times New Roman"/>
          <w:b/>
          <w:bCs/>
          <w:sz w:val="24"/>
          <w:szCs w:val="24"/>
          <w:lang w:val="en-GB"/>
        </w:rPr>
        <w:lastRenderedPageBreak/>
        <w:t>Final Reflections</w:t>
      </w:r>
    </w:p>
    <w:p w14:paraId="460C0D5C" w14:textId="262C525A" w:rsidR="00E2318C" w:rsidRDefault="00A149E1" w:rsidP="001B6D13">
      <w:pPr>
        <w:jc w:val="both"/>
        <w:rPr>
          <w:rFonts w:ascii="Times New Roman" w:hAnsi="Times New Roman" w:cs="Times New Roman"/>
          <w:sz w:val="24"/>
          <w:szCs w:val="24"/>
          <w:lang w:val="en-GB"/>
        </w:rPr>
      </w:pPr>
      <w:r w:rsidRPr="001B6D13">
        <w:rPr>
          <w:rFonts w:ascii="Times New Roman" w:hAnsi="Times New Roman" w:cs="Times New Roman"/>
          <w:sz w:val="24"/>
          <w:szCs w:val="24"/>
          <w:lang w:val="en-GB"/>
        </w:rPr>
        <w:t xml:space="preserve">Whereas, on the one hand, the Anthropocene has heralded challenges and opportunities for mankind, on the other, it speaks of the fragility of the Earth's ecosystems and the rising environmental and social costs of industrial growth. This gives an unprecedented opportunity to think afresh the very foundations of economic philosophy in the pursuit of greener, fairer, resilient varieties of development. Degrowth certainly provides a much-needed, audacious critique of the growth paradigm and invites us to rethink what it means to live well within the ecological limits of the planet. Global degrowth certainly requires a just transition in which the burdens of the reduction of economic activity fall fairly on all-both within and among nations-along with policies of social protection and international solidarity. Eventually, the future of economic philosophy has to overcome this binary opposition of growth versus degrowth. In so doing, it needs to become truly pluralistic, take into consideration complexity in human and ecological systems, and </w:t>
      </w:r>
      <w:r w:rsidR="00E2318C" w:rsidRPr="001B6D13">
        <w:rPr>
          <w:rFonts w:ascii="Times New Roman" w:hAnsi="Times New Roman" w:cs="Times New Roman"/>
          <w:sz w:val="24"/>
          <w:szCs w:val="24"/>
          <w:lang w:val="en-GB"/>
        </w:rPr>
        <w:t>centre</w:t>
      </w:r>
      <w:r w:rsidRPr="001B6D13">
        <w:rPr>
          <w:rFonts w:ascii="Times New Roman" w:hAnsi="Times New Roman" w:cs="Times New Roman"/>
          <w:sz w:val="24"/>
          <w:szCs w:val="24"/>
          <w:lang w:val="en-GB"/>
        </w:rPr>
        <w:t xml:space="preserve"> a balance among economic activity, social well-being, and environmental sustainability. Thus, we begin to reimagine prosperity, not just as a human value, but as a world working for people and the planet.</w:t>
      </w:r>
    </w:p>
    <w:p w14:paraId="00FC7CE5" w14:textId="77777777" w:rsidR="00E2318C" w:rsidRDefault="00E2318C" w:rsidP="001B6D13">
      <w:pPr>
        <w:jc w:val="both"/>
        <w:rPr>
          <w:rFonts w:ascii="Times New Roman" w:hAnsi="Times New Roman" w:cs="Times New Roman"/>
          <w:sz w:val="24"/>
          <w:szCs w:val="24"/>
          <w:lang w:val="en-GB"/>
        </w:rPr>
      </w:pPr>
    </w:p>
    <w:p w14:paraId="7129A6FD" w14:textId="77777777" w:rsidR="00E7457F" w:rsidRDefault="00E7457F" w:rsidP="001B6D13">
      <w:pPr>
        <w:jc w:val="both"/>
        <w:rPr>
          <w:rFonts w:ascii="Times New Roman" w:hAnsi="Times New Roman" w:cs="Times New Roman"/>
          <w:sz w:val="24"/>
          <w:szCs w:val="24"/>
          <w:lang w:val="en-GB"/>
        </w:rPr>
      </w:pPr>
    </w:p>
    <w:p w14:paraId="2AD87F86" w14:textId="77777777" w:rsidR="00E7457F" w:rsidRPr="0033061F" w:rsidRDefault="00E7457F" w:rsidP="00E7457F">
      <w:pPr>
        <w:jc w:val="both"/>
        <w:rPr>
          <w:rFonts w:ascii="Times New Roman" w:hAnsi="Times New Roman" w:cs="Times New Roman"/>
          <w:b/>
          <w:bCs/>
          <w:sz w:val="24"/>
          <w:szCs w:val="24"/>
          <w:lang w:val="en-GB"/>
        </w:rPr>
      </w:pPr>
      <w:r w:rsidRPr="0033061F">
        <w:rPr>
          <w:rFonts w:ascii="Times New Roman" w:hAnsi="Times New Roman" w:cs="Times New Roman"/>
          <w:b/>
          <w:bCs/>
          <w:sz w:val="24"/>
          <w:szCs w:val="24"/>
          <w:lang w:val="en-GB"/>
        </w:rPr>
        <w:t>Funding</w:t>
      </w:r>
    </w:p>
    <w:p w14:paraId="4EA1054E" w14:textId="77777777" w:rsidR="00E7457F" w:rsidRPr="0033061F" w:rsidRDefault="00E7457F" w:rsidP="00E7457F">
      <w:pPr>
        <w:jc w:val="both"/>
        <w:rPr>
          <w:rFonts w:ascii="Times New Roman" w:hAnsi="Times New Roman" w:cs="Times New Roman"/>
          <w:sz w:val="24"/>
          <w:szCs w:val="24"/>
          <w:lang w:val="en-GB"/>
        </w:rPr>
      </w:pPr>
      <w:r w:rsidRPr="0033061F">
        <w:rPr>
          <w:rFonts w:ascii="Times New Roman" w:hAnsi="Times New Roman" w:cs="Times New Roman"/>
          <w:sz w:val="24"/>
          <w:szCs w:val="24"/>
          <w:lang w:val="en-GB"/>
        </w:rPr>
        <w:t>This research did not receive any funds.</w:t>
      </w:r>
    </w:p>
    <w:p w14:paraId="12556212" w14:textId="77777777" w:rsidR="00E7457F" w:rsidRDefault="00E7457F" w:rsidP="00E7457F">
      <w:pPr>
        <w:jc w:val="both"/>
        <w:rPr>
          <w:rFonts w:ascii="Times New Roman" w:hAnsi="Times New Roman" w:cs="Times New Roman"/>
          <w:sz w:val="24"/>
          <w:szCs w:val="24"/>
          <w:lang w:val="en-GB"/>
        </w:rPr>
      </w:pPr>
    </w:p>
    <w:p w14:paraId="7CBEB72D" w14:textId="77777777" w:rsidR="00E7457F" w:rsidRPr="0033061F" w:rsidRDefault="00E7457F" w:rsidP="00E7457F">
      <w:pPr>
        <w:jc w:val="both"/>
        <w:rPr>
          <w:rFonts w:ascii="Times New Roman" w:hAnsi="Times New Roman" w:cs="Times New Roman"/>
          <w:sz w:val="24"/>
          <w:szCs w:val="24"/>
          <w:lang w:val="en-GB"/>
        </w:rPr>
      </w:pPr>
    </w:p>
    <w:p w14:paraId="70A0131E" w14:textId="77777777" w:rsidR="00E7457F" w:rsidRPr="0033061F" w:rsidRDefault="00E7457F" w:rsidP="00E7457F">
      <w:pPr>
        <w:jc w:val="both"/>
        <w:rPr>
          <w:rFonts w:ascii="Times New Roman" w:hAnsi="Times New Roman" w:cs="Times New Roman"/>
          <w:b/>
          <w:bCs/>
          <w:sz w:val="24"/>
          <w:szCs w:val="24"/>
          <w:lang w:val="en-GB"/>
        </w:rPr>
      </w:pPr>
      <w:r w:rsidRPr="0033061F">
        <w:rPr>
          <w:rFonts w:ascii="Times New Roman" w:hAnsi="Times New Roman" w:cs="Times New Roman"/>
          <w:b/>
          <w:bCs/>
          <w:sz w:val="24"/>
          <w:szCs w:val="24"/>
          <w:lang w:val="en-GB"/>
        </w:rPr>
        <w:t>Declaration of interests</w:t>
      </w:r>
    </w:p>
    <w:p w14:paraId="480A6A26" w14:textId="77777777" w:rsidR="00E7457F" w:rsidRDefault="00E7457F" w:rsidP="00E7457F">
      <w:pPr>
        <w:jc w:val="both"/>
        <w:rPr>
          <w:rFonts w:ascii="Times New Roman" w:hAnsi="Times New Roman" w:cs="Times New Roman"/>
          <w:sz w:val="24"/>
          <w:szCs w:val="24"/>
          <w:lang w:val="en-GB"/>
        </w:rPr>
      </w:pPr>
      <w:r w:rsidRPr="0033061F">
        <w:rPr>
          <w:rFonts w:ascii="Times New Roman" w:hAnsi="Times New Roman" w:cs="Times New Roman"/>
          <w:sz w:val="24"/>
          <w:szCs w:val="24"/>
          <w:lang w:val="en-GB"/>
        </w:rPr>
        <w:t>The authors of the present Article declares that they have NO affiliations or involvement in any organization or entity with any financial interest (such as fees; scholarships; participation in speakers' offices; membership, employment, consulting, ownership of shares or other holdings and expert testimony or patent licensing agreements) or non-financial interests (such as personal or professional relationships, affiliations, knowledge or beliefs) in the subject or materials discussed in this manuscript.</w:t>
      </w:r>
    </w:p>
    <w:p w14:paraId="5296FE35" w14:textId="77777777" w:rsidR="00E7457F" w:rsidRPr="0033061F" w:rsidRDefault="00E7457F" w:rsidP="00E7457F">
      <w:pPr>
        <w:jc w:val="both"/>
        <w:rPr>
          <w:rFonts w:ascii="Times New Roman" w:hAnsi="Times New Roman" w:cs="Times New Roman"/>
          <w:sz w:val="24"/>
          <w:szCs w:val="24"/>
          <w:lang w:val="en-GB"/>
        </w:rPr>
      </w:pPr>
    </w:p>
    <w:p w14:paraId="57C2969A" w14:textId="576962B4" w:rsidR="00AF2D2F" w:rsidRPr="001B6D13" w:rsidRDefault="00AF2D2F" w:rsidP="001B6D13">
      <w:pPr>
        <w:jc w:val="both"/>
        <w:rPr>
          <w:rFonts w:ascii="Times New Roman" w:hAnsi="Times New Roman" w:cs="Times New Roman"/>
          <w:sz w:val="24"/>
          <w:szCs w:val="24"/>
          <w:lang w:val="en-GB"/>
        </w:rPr>
      </w:pPr>
      <w:r w:rsidRPr="001B6D13">
        <w:rPr>
          <w:rFonts w:ascii="Times New Roman" w:hAnsi="Times New Roman" w:cs="Times New Roman"/>
          <w:sz w:val="24"/>
          <w:szCs w:val="24"/>
          <w:lang w:val="en-GB"/>
        </w:rPr>
        <w:br w:type="page"/>
      </w:r>
    </w:p>
    <w:p w14:paraId="030EC9F5" w14:textId="77777777" w:rsidR="00AF2D2F" w:rsidRPr="00E7457F" w:rsidRDefault="00AF2D2F" w:rsidP="00E7457F">
      <w:pPr>
        <w:pStyle w:val="ListParagraph"/>
        <w:jc w:val="both"/>
        <w:rPr>
          <w:rFonts w:ascii="Times New Roman" w:hAnsi="Times New Roman" w:cs="Times New Roman"/>
          <w:b/>
          <w:bCs/>
          <w:sz w:val="28"/>
          <w:szCs w:val="28"/>
          <w:lang w:val="en-GB"/>
        </w:rPr>
      </w:pPr>
      <w:r w:rsidRPr="00E7457F">
        <w:rPr>
          <w:rFonts w:ascii="Times New Roman" w:hAnsi="Times New Roman" w:cs="Times New Roman"/>
          <w:b/>
          <w:bCs/>
          <w:sz w:val="28"/>
          <w:szCs w:val="28"/>
          <w:lang w:val="en-GB"/>
        </w:rPr>
        <w:lastRenderedPageBreak/>
        <w:t>References</w:t>
      </w:r>
    </w:p>
    <w:p w14:paraId="0E9BFD2C" w14:textId="77777777" w:rsidR="00DF5988" w:rsidRPr="00E7457F" w:rsidRDefault="00DF5988" w:rsidP="001B6D13">
      <w:pPr>
        <w:jc w:val="both"/>
        <w:rPr>
          <w:rFonts w:ascii="Times New Roman" w:hAnsi="Times New Roman" w:cs="Times New Roman"/>
          <w:lang w:val="en-GB"/>
        </w:rPr>
      </w:pPr>
      <w:proofErr w:type="spellStart"/>
      <w:r w:rsidRPr="00E7457F">
        <w:rPr>
          <w:rFonts w:ascii="Times New Roman" w:hAnsi="Times New Roman" w:cs="Times New Roman"/>
          <w:lang w:val="en-GB"/>
        </w:rPr>
        <w:t>Anguelovski</w:t>
      </w:r>
      <w:proofErr w:type="spellEnd"/>
      <w:r w:rsidRPr="00E7457F">
        <w:rPr>
          <w:rFonts w:ascii="Times New Roman" w:hAnsi="Times New Roman" w:cs="Times New Roman"/>
          <w:lang w:val="en-GB"/>
        </w:rPr>
        <w:t>, I., Connolly, J. J., &amp; Brand, A. L. (2018). From landscapes of utopia to the urban political ecology of environmental justice: Radical urban transformation and “just green enough” in Barcelona. City, 22(5-6), 742-763. https://doi.org/10.1080/13604813.2018.1529440</w:t>
      </w:r>
    </w:p>
    <w:p w14:paraId="114C422D" w14:textId="77777777" w:rsidR="00DF5988" w:rsidRPr="00E7457F" w:rsidRDefault="00DF5988" w:rsidP="001B6D13">
      <w:pPr>
        <w:jc w:val="both"/>
        <w:rPr>
          <w:rFonts w:ascii="Times New Roman" w:hAnsi="Times New Roman" w:cs="Times New Roman"/>
          <w:lang w:val="en-GB"/>
        </w:rPr>
      </w:pPr>
      <w:r w:rsidRPr="000B5B16">
        <w:rPr>
          <w:rFonts w:ascii="Times New Roman" w:hAnsi="Times New Roman" w:cs="Times New Roman"/>
          <w:lang w:val="en-GB"/>
        </w:rPr>
        <w:t xml:space="preserve">Aronoff, K., Battistoni, A., Cohen, D. A., &amp; </w:t>
      </w:r>
      <w:proofErr w:type="spellStart"/>
      <w:r w:rsidRPr="000B5B16">
        <w:rPr>
          <w:rFonts w:ascii="Times New Roman" w:hAnsi="Times New Roman" w:cs="Times New Roman"/>
          <w:lang w:val="en-GB"/>
        </w:rPr>
        <w:t>Riofrancos</w:t>
      </w:r>
      <w:proofErr w:type="spellEnd"/>
      <w:r w:rsidRPr="000B5B16">
        <w:rPr>
          <w:rFonts w:ascii="Times New Roman" w:hAnsi="Times New Roman" w:cs="Times New Roman"/>
          <w:lang w:val="en-GB"/>
        </w:rPr>
        <w:t xml:space="preserve">, T. (2019). </w:t>
      </w:r>
      <w:r w:rsidRPr="00E7457F">
        <w:rPr>
          <w:rFonts w:ascii="Times New Roman" w:hAnsi="Times New Roman" w:cs="Times New Roman"/>
          <w:lang w:val="en-GB"/>
        </w:rPr>
        <w:t>A planet to win: Why we need a Green New Deal. Verso Books.</w:t>
      </w:r>
    </w:p>
    <w:p w14:paraId="73C48D83" w14:textId="77777777" w:rsidR="00DF5988" w:rsidRPr="00E7457F" w:rsidRDefault="00DF5988" w:rsidP="001B6D13">
      <w:pPr>
        <w:jc w:val="both"/>
        <w:rPr>
          <w:rFonts w:ascii="Times New Roman" w:hAnsi="Times New Roman" w:cs="Times New Roman"/>
          <w:lang w:val="en-GB"/>
        </w:rPr>
      </w:pPr>
      <w:r w:rsidRPr="00E7457F">
        <w:rPr>
          <w:rFonts w:ascii="Times New Roman" w:hAnsi="Times New Roman" w:cs="Times New Roman"/>
          <w:lang w:val="en-GB"/>
        </w:rPr>
        <w:t>Barnosky, A. D., Matzke, N., Tomiya, S., Wogan, G. O., Swartz, B., Quental, T. B., ... &amp; Ferrer, E. A. (2011). Has the Earth’s sixth mass extinction already arrived? Nature, 471(7336), 51-57. https://doi.org/10.1038/nature09678</w:t>
      </w:r>
    </w:p>
    <w:p w14:paraId="5675C703" w14:textId="77777777" w:rsidR="00DF5988" w:rsidRPr="00E7457F" w:rsidRDefault="00DF5988" w:rsidP="001B6D13">
      <w:pPr>
        <w:jc w:val="both"/>
        <w:rPr>
          <w:rFonts w:ascii="Times New Roman" w:hAnsi="Times New Roman" w:cs="Times New Roman"/>
          <w:lang w:val="en-GB"/>
        </w:rPr>
      </w:pPr>
      <w:r w:rsidRPr="00E7457F">
        <w:rPr>
          <w:rFonts w:ascii="Times New Roman" w:hAnsi="Times New Roman" w:cs="Times New Roman"/>
          <w:lang w:val="en-GB"/>
        </w:rPr>
        <w:t>Coote, A., &amp; Percy, A. (2020). The case for Universal Basic Services. Polity Press.</w:t>
      </w:r>
    </w:p>
    <w:p w14:paraId="7A4DCE12" w14:textId="77777777" w:rsidR="00DF5988" w:rsidRPr="00E7457F" w:rsidRDefault="00DF5988" w:rsidP="001B6D13">
      <w:pPr>
        <w:jc w:val="both"/>
        <w:rPr>
          <w:rFonts w:ascii="Times New Roman" w:hAnsi="Times New Roman" w:cs="Times New Roman"/>
          <w:lang w:val="en-GB"/>
        </w:rPr>
      </w:pPr>
      <w:r w:rsidRPr="000B5B16">
        <w:rPr>
          <w:rFonts w:ascii="Times New Roman" w:hAnsi="Times New Roman" w:cs="Times New Roman"/>
          <w:lang w:val="en-GB"/>
        </w:rPr>
        <w:t xml:space="preserve">Costanza, R., Kubiszewski, I., Giovannini, E., Lovins, H., McGlade, J., Pickett, K. E., ... </w:t>
      </w:r>
      <w:r w:rsidRPr="00E7457F">
        <w:rPr>
          <w:rFonts w:ascii="Times New Roman" w:hAnsi="Times New Roman" w:cs="Times New Roman"/>
          <w:lang w:val="en-GB"/>
        </w:rPr>
        <w:t>&amp; Wilkinson, R. (2014). Time to leave GDP behind. Nature, 505(7483), 283-285. https://doi.org/10.1038/505283a</w:t>
      </w:r>
    </w:p>
    <w:p w14:paraId="6FD742EF" w14:textId="77777777" w:rsidR="00DF5988" w:rsidRPr="00E7457F" w:rsidRDefault="00DF5988" w:rsidP="001B6D13">
      <w:pPr>
        <w:jc w:val="both"/>
        <w:rPr>
          <w:rFonts w:ascii="Times New Roman" w:hAnsi="Times New Roman" w:cs="Times New Roman"/>
          <w:lang w:val="en-GB"/>
        </w:rPr>
      </w:pPr>
      <w:proofErr w:type="spellStart"/>
      <w:r w:rsidRPr="00E7457F">
        <w:rPr>
          <w:rFonts w:ascii="Times New Roman" w:hAnsi="Times New Roman" w:cs="Times New Roman"/>
          <w:lang w:val="en-GB"/>
        </w:rPr>
        <w:t>Crutzen</w:t>
      </w:r>
      <w:proofErr w:type="spellEnd"/>
      <w:r w:rsidRPr="00E7457F">
        <w:rPr>
          <w:rFonts w:ascii="Times New Roman" w:hAnsi="Times New Roman" w:cs="Times New Roman"/>
          <w:lang w:val="en-GB"/>
        </w:rPr>
        <w:t>, P. J. (2002). Geology of mankind. Nature, 415(6867), 23-23. https://doi.org/10.1038/415023a</w:t>
      </w:r>
    </w:p>
    <w:p w14:paraId="302FD059" w14:textId="77777777" w:rsidR="00DF5988" w:rsidRPr="00E7457F" w:rsidRDefault="00DF5988" w:rsidP="001B6D13">
      <w:pPr>
        <w:jc w:val="both"/>
        <w:rPr>
          <w:rFonts w:ascii="Times New Roman" w:hAnsi="Times New Roman" w:cs="Times New Roman"/>
          <w:lang w:val="en-GB"/>
        </w:rPr>
      </w:pPr>
      <w:r w:rsidRPr="00E7457F">
        <w:rPr>
          <w:rFonts w:ascii="Times New Roman" w:hAnsi="Times New Roman" w:cs="Times New Roman"/>
        </w:rPr>
        <w:t xml:space="preserve">D’Alisa, G., Demaria, F., &amp; Kallis, G. (Eds.). </w:t>
      </w:r>
      <w:r w:rsidRPr="00E7457F">
        <w:rPr>
          <w:rFonts w:ascii="Times New Roman" w:hAnsi="Times New Roman" w:cs="Times New Roman"/>
          <w:lang w:val="en-GB"/>
        </w:rPr>
        <w:t>(2014). Degrowth: A vocabulary for a new era. Routledge.</w:t>
      </w:r>
    </w:p>
    <w:p w14:paraId="0F35BCEB" w14:textId="089624D1" w:rsidR="00DF5988" w:rsidRPr="00E7457F" w:rsidRDefault="00DF5988" w:rsidP="001B6D13">
      <w:pPr>
        <w:jc w:val="both"/>
        <w:rPr>
          <w:rFonts w:ascii="Times New Roman" w:hAnsi="Times New Roman" w:cs="Times New Roman"/>
          <w:lang w:val="en-GB"/>
        </w:rPr>
      </w:pPr>
      <w:r w:rsidRPr="00E7457F">
        <w:rPr>
          <w:rFonts w:ascii="Times New Roman" w:hAnsi="Times New Roman" w:cs="Times New Roman"/>
          <w:lang w:val="en-GB"/>
        </w:rPr>
        <w:t>Daly, H. E. (1996). Beyond growth: The economics of sustainable development. Beacon Press.</w:t>
      </w:r>
    </w:p>
    <w:p w14:paraId="1B9D3C05" w14:textId="77777777" w:rsidR="00DF5988" w:rsidRPr="00E7457F" w:rsidRDefault="00DF5988" w:rsidP="001B6D13">
      <w:pPr>
        <w:jc w:val="both"/>
        <w:rPr>
          <w:rFonts w:ascii="Times New Roman" w:hAnsi="Times New Roman" w:cs="Times New Roman"/>
          <w:lang w:val="en-GB"/>
        </w:rPr>
      </w:pPr>
      <w:r w:rsidRPr="00E7457F">
        <w:rPr>
          <w:rFonts w:ascii="Times New Roman" w:hAnsi="Times New Roman" w:cs="Times New Roman"/>
          <w:lang w:val="en-GB"/>
        </w:rPr>
        <w:t>Easterlin, R. A. (1974). Does economic growth improve the human lot? Some empirical evidence. In Nations and households in economic growth (pp. 89-125). Elsevier.</w:t>
      </w:r>
    </w:p>
    <w:p w14:paraId="7A144B94" w14:textId="77777777" w:rsidR="00DF5988" w:rsidRPr="00E7457F" w:rsidRDefault="00DF5988" w:rsidP="001B6D13">
      <w:pPr>
        <w:jc w:val="both"/>
        <w:rPr>
          <w:rFonts w:ascii="Times New Roman" w:hAnsi="Times New Roman" w:cs="Times New Roman"/>
          <w:lang w:val="en-GB"/>
        </w:rPr>
      </w:pPr>
      <w:r w:rsidRPr="00E7457F">
        <w:rPr>
          <w:rFonts w:ascii="Times New Roman" w:hAnsi="Times New Roman" w:cs="Times New Roman"/>
          <w:lang w:val="en-GB"/>
        </w:rPr>
        <w:t>Ellen MacArthur Foundation. (2015). Towards a circular economy: Business rationale for an accelerated transition. Ellen MacArthur Foundation.</w:t>
      </w:r>
    </w:p>
    <w:p w14:paraId="778573FA" w14:textId="77777777" w:rsidR="00DF5988" w:rsidRPr="00E7457F" w:rsidRDefault="00DF5988" w:rsidP="001B6D13">
      <w:pPr>
        <w:jc w:val="both"/>
        <w:rPr>
          <w:rFonts w:ascii="Times New Roman" w:hAnsi="Times New Roman" w:cs="Times New Roman"/>
          <w:lang w:val="en-GB"/>
        </w:rPr>
      </w:pPr>
      <w:r w:rsidRPr="00E7457F">
        <w:rPr>
          <w:rFonts w:ascii="Times New Roman" w:hAnsi="Times New Roman" w:cs="Times New Roman"/>
          <w:lang w:val="en-GB"/>
        </w:rPr>
        <w:t xml:space="preserve">Foley, J. A., </w:t>
      </w:r>
      <w:proofErr w:type="spellStart"/>
      <w:r w:rsidRPr="00E7457F">
        <w:rPr>
          <w:rFonts w:ascii="Times New Roman" w:hAnsi="Times New Roman" w:cs="Times New Roman"/>
          <w:lang w:val="en-GB"/>
        </w:rPr>
        <w:t>Ramankutty</w:t>
      </w:r>
      <w:proofErr w:type="spellEnd"/>
      <w:r w:rsidRPr="00E7457F">
        <w:rPr>
          <w:rFonts w:ascii="Times New Roman" w:hAnsi="Times New Roman" w:cs="Times New Roman"/>
          <w:lang w:val="en-GB"/>
        </w:rPr>
        <w:t>, N., Brauman, K. A., Cassidy, E. S., Gerber, J. S., Johnston, M., ... &amp; Zaks, D. P. (2011). Solutions for a cultivated planet. Nature, 478(7369), 337-342. https://doi.org/10.1038/nature10452</w:t>
      </w:r>
    </w:p>
    <w:p w14:paraId="55BF3122" w14:textId="77777777" w:rsidR="00DF5988" w:rsidRPr="00E7457F" w:rsidRDefault="00DF5988" w:rsidP="001B6D13">
      <w:pPr>
        <w:jc w:val="both"/>
        <w:rPr>
          <w:rFonts w:ascii="Times New Roman" w:hAnsi="Times New Roman" w:cs="Times New Roman"/>
          <w:lang w:val="en-GB"/>
        </w:rPr>
      </w:pPr>
      <w:r w:rsidRPr="00E7457F">
        <w:rPr>
          <w:rFonts w:ascii="Times New Roman" w:hAnsi="Times New Roman" w:cs="Times New Roman"/>
          <w:lang w:val="en-GB"/>
        </w:rPr>
        <w:t>Georgescu-</w:t>
      </w:r>
      <w:proofErr w:type="spellStart"/>
      <w:r w:rsidRPr="00E7457F">
        <w:rPr>
          <w:rFonts w:ascii="Times New Roman" w:hAnsi="Times New Roman" w:cs="Times New Roman"/>
          <w:lang w:val="en-GB"/>
        </w:rPr>
        <w:t>Roegen</w:t>
      </w:r>
      <w:proofErr w:type="spellEnd"/>
      <w:r w:rsidRPr="00E7457F">
        <w:rPr>
          <w:rFonts w:ascii="Times New Roman" w:hAnsi="Times New Roman" w:cs="Times New Roman"/>
          <w:lang w:val="en-GB"/>
        </w:rPr>
        <w:t>, N. (1971). The entropy law and the economic process. Harvard University Press.</w:t>
      </w:r>
    </w:p>
    <w:p w14:paraId="26F46843" w14:textId="77777777" w:rsidR="00DF5988" w:rsidRPr="00E7457F" w:rsidRDefault="00DF5988" w:rsidP="001B6D13">
      <w:pPr>
        <w:jc w:val="both"/>
        <w:rPr>
          <w:rFonts w:ascii="Times New Roman" w:hAnsi="Times New Roman" w:cs="Times New Roman"/>
          <w:lang w:val="en-GB"/>
        </w:rPr>
      </w:pPr>
      <w:r w:rsidRPr="00E7457F">
        <w:rPr>
          <w:rFonts w:ascii="Times New Roman" w:hAnsi="Times New Roman" w:cs="Times New Roman"/>
          <w:lang w:val="en-GB"/>
        </w:rPr>
        <w:t>Ghosh, S. (2019). Environmental issues in India: An overview. International Journal of Humanities and Social Science, 9(1), 14-23. https://doi.org/10.30845/ijhss.v9n1p3</w:t>
      </w:r>
    </w:p>
    <w:p w14:paraId="0950A8BC" w14:textId="77777777" w:rsidR="00DF5988" w:rsidRPr="00E7457F" w:rsidRDefault="00DF5988" w:rsidP="001B6D13">
      <w:pPr>
        <w:jc w:val="both"/>
        <w:rPr>
          <w:rFonts w:ascii="Times New Roman" w:hAnsi="Times New Roman" w:cs="Times New Roman"/>
          <w:lang w:val="en-GB"/>
        </w:rPr>
      </w:pPr>
      <w:proofErr w:type="spellStart"/>
      <w:r w:rsidRPr="00E7457F">
        <w:rPr>
          <w:rFonts w:ascii="Times New Roman" w:hAnsi="Times New Roman" w:cs="Times New Roman"/>
          <w:lang w:val="en-GB"/>
        </w:rPr>
        <w:t>Gudynas</w:t>
      </w:r>
      <w:proofErr w:type="spellEnd"/>
      <w:r w:rsidRPr="00E7457F">
        <w:rPr>
          <w:rFonts w:ascii="Times New Roman" w:hAnsi="Times New Roman" w:cs="Times New Roman"/>
          <w:lang w:val="en-GB"/>
        </w:rPr>
        <w:t xml:space="preserve">, E. (2011). Buen </w:t>
      </w:r>
      <w:proofErr w:type="spellStart"/>
      <w:r w:rsidRPr="00E7457F">
        <w:rPr>
          <w:rFonts w:ascii="Times New Roman" w:hAnsi="Times New Roman" w:cs="Times New Roman"/>
          <w:lang w:val="en-GB"/>
        </w:rPr>
        <w:t>vivir</w:t>
      </w:r>
      <w:proofErr w:type="spellEnd"/>
      <w:r w:rsidRPr="00E7457F">
        <w:rPr>
          <w:rFonts w:ascii="Times New Roman" w:hAnsi="Times New Roman" w:cs="Times New Roman"/>
          <w:lang w:val="en-GB"/>
        </w:rPr>
        <w:t>: Today's tomorrow. Development, 54(4), 441-447. https://doi.org/10.1057/dev.2011.86</w:t>
      </w:r>
    </w:p>
    <w:p w14:paraId="7665F854" w14:textId="77777777" w:rsidR="00DF5988" w:rsidRPr="00E7457F" w:rsidRDefault="00DF5988" w:rsidP="001B6D13">
      <w:pPr>
        <w:jc w:val="both"/>
        <w:rPr>
          <w:rFonts w:ascii="Times New Roman" w:hAnsi="Times New Roman" w:cs="Times New Roman"/>
          <w:lang w:val="en-GB"/>
        </w:rPr>
      </w:pPr>
      <w:r w:rsidRPr="00E7457F">
        <w:rPr>
          <w:rFonts w:ascii="Times New Roman" w:hAnsi="Times New Roman" w:cs="Times New Roman"/>
          <w:lang w:val="en-GB"/>
        </w:rPr>
        <w:t>Harvey, D. (2005). A brief history of neoliberalism. Oxford University Press.</w:t>
      </w:r>
    </w:p>
    <w:p w14:paraId="40F4AC05" w14:textId="77777777" w:rsidR="00DF5988" w:rsidRPr="00E7457F" w:rsidRDefault="00DF5988" w:rsidP="001B6D13">
      <w:pPr>
        <w:jc w:val="both"/>
        <w:rPr>
          <w:rFonts w:ascii="Times New Roman" w:hAnsi="Times New Roman" w:cs="Times New Roman"/>
          <w:lang w:val="en-GB"/>
        </w:rPr>
      </w:pPr>
      <w:r w:rsidRPr="00E7457F">
        <w:rPr>
          <w:rFonts w:ascii="Times New Roman" w:hAnsi="Times New Roman" w:cs="Times New Roman"/>
          <w:lang w:val="en-GB"/>
        </w:rPr>
        <w:t>Helliwell, J. F., Layard, R., &amp; Sachs, J. (2020). World happiness report 2020. Sustainable Development</w:t>
      </w:r>
    </w:p>
    <w:p w14:paraId="05781F40" w14:textId="77777777" w:rsidR="00DF5988" w:rsidRPr="00E7457F" w:rsidRDefault="00DF5988" w:rsidP="001B6D13">
      <w:pPr>
        <w:jc w:val="both"/>
        <w:rPr>
          <w:rFonts w:ascii="Times New Roman" w:hAnsi="Times New Roman" w:cs="Times New Roman"/>
          <w:lang w:val="en-GB"/>
        </w:rPr>
      </w:pPr>
      <w:r w:rsidRPr="00E7457F">
        <w:rPr>
          <w:rFonts w:ascii="Times New Roman" w:hAnsi="Times New Roman" w:cs="Times New Roman"/>
          <w:lang w:val="en-GB"/>
        </w:rPr>
        <w:lastRenderedPageBreak/>
        <w:t>Hopkins, R. (2011). The Transition Companion: Making your community more resilient in uncertain times. Chelsea Green Publishing.</w:t>
      </w:r>
    </w:p>
    <w:p w14:paraId="6C538F26" w14:textId="77777777" w:rsidR="00DF5988" w:rsidRPr="00E7457F" w:rsidRDefault="00DF5988" w:rsidP="001B6D13">
      <w:pPr>
        <w:jc w:val="both"/>
        <w:rPr>
          <w:rFonts w:ascii="Times New Roman" w:hAnsi="Times New Roman" w:cs="Times New Roman"/>
          <w:lang w:val="en-GB"/>
        </w:rPr>
      </w:pPr>
      <w:r w:rsidRPr="00E7457F">
        <w:rPr>
          <w:rFonts w:ascii="Times New Roman" w:hAnsi="Times New Roman" w:cs="Times New Roman"/>
          <w:lang w:val="en-GB"/>
        </w:rPr>
        <w:t>Howarth, R. W. (2014). A bridge to nowhere: Methane emissions and the greenhouse gas footprint of natural gas. Energy Science &amp; Engineering, 2(2), 47-60. https://doi.org/10.1002/ese3.35</w:t>
      </w:r>
    </w:p>
    <w:p w14:paraId="5CA787C9" w14:textId="77777777" w:rsidR="00DF5988" w:rsidRPr="00E7457F" w:rsidRDefault="00DF5988" w:rsidP="001B6D13">
      <w:pPr>
        <w:jc w:val="both"/>
        <w:rPr>
          <w:rFonts w:ascii="Times New Roman" w:hAnsi="Times New Roman" w:cs="Times New Roman"/>
          <w:lang w:val="en-GB"/>
        </w:rPr>
      </w:pPr>
      <w:r w:rsidRPr="00E7457F">
        <w:rPr>
          <w:rFonts w:ascii="Times New Roman" w:hAnsi="Times New Roman" w:cs="Times New Roman"/>
          <w:lang w:val="en-GB"/>
        </w:rPr>
        <w:t>Jackson, T. (2009). Prosperity without growth: Economics for a finite planet. Earthscan.</w:t>
      </w:r>
    </w:p>
    <w:p w14:paraId="1F073F74" w14:textId="77777777" w:rsidR="00DF5988" w:rsidRPr="00E7457F" w:rsidRDefault="00DF5988" w:rsidP="001B6D13">
      <w:pPr>
        <w:jc w:val="both"/>
        <w:rPr>
          <w:rFonts w:ascii="Times New Roman" w:hAnsi="Times New Roman" w:cs="Times New Roman"/>
          <w:lang w:val="en-GB"/>
        </w:rPr>
      </w:pPr>
      <w:r w:rsidRPr="00E7457F">
        <w:rPr>
          <w:rFonts w:ascii="Times New Roman" w:hAnsi="Times New Roman" w:cs="Times New Roman"/>
          <w:lang w:val="en-GB"/>
        </w:rPr>
        <w:t>Kallis, G., Martinez-Alier, J., &amp; Norgaard, R. B. (2011). A case for degrowth. Ecological Economics, 70(5), 873-880. https://doi.org/10.1016/j.ecolecon.2010.12.007</w:t>
      </w:r>
    </w:p>
    <w:p w14:paraId="741A09A0" w14:textId="77777777" w:rsidR="00DF5988" w:rsidRPr="00E7457F" w:rsidRDefault="00DF5988" w:rsidP="001B6D13">
      <w:pPr>
        <w:jc w:val="both"/>
        <w:rPr>
          <w:rFonts w:ascii="Times New Roman" w:hAnsi="Times New Roman" w:cs="Times New Roman"/>
          <w:lang w:val="en-GB"/>
        </w:rPr>
      </w:pPr>
      <w:r w:rsidRPr="00E7457F">
        <w:rPr>
          <w:rFonts w:ascii="Times New Roman" w:hAnsi="Times New Roman" w:cs="Times New Roman"/>
          <w:lang w:val="en-GB"/>
        </w:rPr>
        <w:t>Kuznets, S. (1955). Economic growth and income inequality. The American Economic Review, 45(1), 1-28.</w:t>
      </w:r>
    </w:p>
    <w:p w14:paraId="25F02537" w14:textId="77777777" w:rsidR="00DF5988" w:rsidRPr="00E7457F" w:rsidRDefault="00DF5988" w:rsidP="001B6D13">
      <w:pPr>
        <w:jc w:val="both"/>
        <w:rPr>
          <w:rFonts w:ascii="Times New Roman" w:hAnsi="Times New Roman" w:cs="Times New Roman"/>
          <w:lang w:val="en-GB"/>
        </w:rPr>
      </w:pPr>
      <w:r w:rsidRPr="00E7457F">
        <w:rPr>
          <w:rFonts w:ascii="Times New Roman" w:hAnsi="Times New Roman" w:cs="Times New Roman"/>
          <w:lang w:val="en-GB"/>
        </w:rPr>
        <w:t>Lahiri-Dutt, K. (2012). Large dams and changes in an agrarian society: Gendering the impacts of Damodar Valley Corporation in eastern India. Water Alternatives, 5(2), 529-542.</w:t>
      </w:r>
    </w:p>
    <w:p w14:paraId="08D08860" w14:textId="77777777" w:rsidR="00DF5988" w:rsidRPr="00E7457F" w:rsidRDefault="00DF5988" w:rsidP="001B6D13">
      <w:pPr>
        <w:jc w:val="both"/>
        <w:rPr>
          <w:rFonts w:ascii="Times New Roman" w:hAnsi="Times New Roman" w:cs="Times New Roman"/>
          <w:lang w:val="en-GB"/>
        </w:rPr>
      </w:pPr>
      <w:r w:rsidRPr="00E7457F">
        <w:rPr>
          <w:rFonts w:ascii="Times New Roman" w:hAnsi="Times New Roman" w:cs="Times New Roman"/>
          <w:lang w:val="en-GB"/>
        </w:rPr>
        <w:t>Latouche, S. (2009). Farewell to growth. Polity Press.</w:t>
      </w:r>
    </w:p>
    <w:p w14:paraId="4F9A8869" w14:textId="77777777" w:rsidR="00DF5988" w:rsidRPr="00E7457F" w:rsidRDefault="00DF5988" w:rsidP="001B6D13">
      <w:pPr>
        <w:jc w:val="both"/>
        <w:rPr>
          <w:rFonts w:ascii="Times New Roman" w:hAnsi="Times New Roman" w:cs="Times New Roman"/>
          <w:lang w:val="en-GB"/>
        </w:rPr>
      </w:pPr>
      <w:r w:rsidRPr="00E7457F">
        <w:rPr>
          <w:rFonts w:ascii="Times New Roman" w:hAnsi="Times New Roman" w:cs="Times New Roman"/>
          <w:lang w:val="en-GB"/>
        </w:rPr>
        <w:t>Liu, J., &amp; Diamond, J. (2005). China's environment in a globalizing world. Nature, 435(7046), 1179-1186. https://doi.org/10.1038/4351179a</w:t>
      </w:r>
    </w:p>
    <w:p w14:paraId="7670167B" w14:textId="77777777" w:rsidR="00DF5988" w:rsidRPr="00E7457F" w:rsidRDefault="00DF5988" w:rsidP="001B6D13">
      <w:pPr>
        <w:jc w:val="both"/>
        <w:rPr>
          <w:rFonts w:ascii="Times New Roman" w:hAnsi="Times New Roman" w:cs="Times New Roman"/>
          <w:lang w:val="en-GB"/>
        </w:rPr>
      </w:pPr>
      <w:r w:rsidRPr="00E7457F">
        <w:rPr>
          <w:rFonts w:ascii="Times New Roman" w:hAnsi="Times New Roman" w:cs="Times New Roman"/>
          <w:lang w:val="en-GB"/>
        </w:rPr>
        <w:t>Marshall, A. (1890). Principles of economics (8th ed.). Macmillan.</w:t>
      </w:r>
    </w:p>
    <w:p w14:paraId="493B460E" w14:textId="77777777" w:rsidR="00DF5988" w:rsidRPr="00E7457F" w:rsidRDefault="00DF5988" w:rsidP="001B6D13">
      <w:pPr>
        <w:jc w:val="both"/>
        <w:rPr>
          <w:rFonts w:ascii="Times New Roman" w:hAnsi="Times New Roman" w:cs="Times New Roman"/>
          <w:lang w:val="en-GB"/>
        </w:rPr>
      </w:pPr>
      <w:r w:rsidRPr="00E7457F">
        <w:rPr>
          <w:rFonts w:ascii="Times New Roman" w:hAnsi="Times New Roman" w:cs="Times New Roman"/>
          <w:lang w:val="en-GB"/>
        </w:rPr>
        <w:t>Martinez-Alier, J. (2002). The environmentalism of the poor: A study of ecological conflicts and valuation. Edward Elgar Publishing.</w:t>
      </w:r>
    </w:p>
    <w:p w14:paraId="5CC2EDE9" w14:textId="77777777" w:rsidR="00DF5988" w:rsidRPr="00E7457F" w:rsidRDefault="00DF5988" w:rsidP="001B6D13">
      <w:pPr>
        <w:jc w:val="both"/>
        <w:rPr>
          <w:rFonts w:ascii="Times New Roman" w:hAnsi="Times New Roman" w:cs="Times New Roman"/>
          <w:lang w:val="en-GB"/>
        </w:rPr>
      </w:pPr>
      <w:r w:rsidRPr="00E7457F">
        <w:rPr>
          <w:rFonts w:ascii="Times New Roman" w:hAnsi="Times New Roman" w:cs="Times New Roman"/>
          <w:lang w:val="en-GB"/>
        </w:rPr>
        <w:t>Meadows, D. H., Meadows, D. L., Randers, J., &amp; Behrens III, W. W. (1972). The limits to growth: A report for the Club of Rome's project on the predicament of mankind. Universe Books.</w:t>
      </w:r>
    </w:p>
    <w:p w14:paraId="3D2DF6BC" w14:textId="77777777" w:rsidR="00DF5988" w:rsidRPr="00E7457F" w:rsidRDefault="00DF5988" w:rsidP="001B6D13">
      <w:pPr>
        <w:jc w:val="both"/>
        <w:rPr>
          <w:rFonts w:ascii="Times New Roman" w:hAnsi="Times New Roman" w:cs="Times New Roman"/>
          <w:lang w:val="en-GB"/>
        </w:rPr>
      </w:pPr>
      <w:r w:rsidRPr="00E7457F">
        <w:rPr>
          <w:rFonts w:ascii="Times New Roman" w:hAnsi="Times New Roman" w:cs="Times New Roman"/>
          <w:lang w:val="en-GB"/>
        </w:rPr>
        <w:t>Oxfam. (2020). Time to care: Unpaid and underpaid care work and the global inequality crisis. Oxfam International.</w:t>
      </w:r>
    </w:p>
    <w:p w14:paraId="275F6423" w14:textId="77777777" w:rsidR="00DF5988" w:rsidRPr="00E7457F" w:rsidRDefault="00DF5988" w:rsidP="001B6D13">
      <w:pPr>
        <w:jc w:val="both"/>
        <w:rPr>
          <w:rFonts w:ascii="Times New Roman" w:hAnsi="Times New Roman" w:cs="Times New Roman"/>
          <w:lang w:val="en-GB"/>
        </w:rPr>
      </w:pPr>
      <w:r w:rsidRPr="00E7457F">
        <w:rPr>
          <w:rFonts w:ascii="Times New Roman" w:hAnsi="Times New Roman" w:cs="Times New Roman"/>
          <w:lang w:val="en-GB"/>
        </w:rPr>
        <w:t>Pellow, D. N. (2018). What is critical environmental justice?. Polity Press.</w:t>
      </w:r>
    </w:p>
    <w:p w14:paraId="11C5035C" w14:textId="77777777" w:rsidR="00DF5988" w:rsidRPr="00E7457F" w:rsidRDefault="00DF5988" w:rsidP="001B6D13">
      <w:pPr>
        <w:jc w:val="both"/>
        <w:rPr>
          <w:rFonts w:ascii="Times New Roman" w:hAnsi="Times New Roman" w:cs="Times New Roman"/>
          <w:lang w:val="en-GB"/>
        </w:rPr>
      </w:pPr>
      <w:r w:rsidRPr="00E7457F">
        <w:rPr>
          <w:rFonts w:ascii="Times New Roman" w:hAnsi="Times New Roman" w:cs="Times New Roman"/>
          <w:lang w:val="en-GB"/>
        </w:rPr>
        <w:t>Piketty, T. (2013). Capital in the twenty-first century. Harvard University Press.</w:t>
      </w:r>
    </w:p>
    <w:p w14:paraId="4E1E8848" w14:textId="77777777" w:rsidR="00DF5988" w:rsidRPr="00E7457F" w:rsidRDefault="00DF5988" w:rsidP="001B6D13">
      <w:pPr>
        <w:jc w:val="both"/>
        <w:rPr>
          <w:rFonts w:ascii="Times New Roman" w:hAnsi="Times New Roman" w:cs="Times New Roman"/>
          <w:lang w:val="en-GB"/>
        </w:rPr>
      </w:pPr>
      <w:r w:rsidRPr="00E7457F">
        <w:rPr>
          <w:rFonts w:ascii="Times New Roman" w:hAnsi="Times New Roman" w:cs="Times New Roman"/>
          <w:lang w:val="en-GB"/>
        </w:rPr>
        <w:t>Polanyi, K. (1944). The great transformation: The political and economic origins of our time. Beacon Press.</w:t>
      </w:r>
    </w:p>
    <w:p w14:paraId="045F2447" w14:textId="77777777" w:rsidR="00DF5988" w:rsidRPr="00E7457F" w:rsidRDefault="00DF5988" w:rsidP="001B6D13">
      <w:pPr>
        <w:jc w:val="both"/>
        <w:rPr>
          <w:rFonts w:ascii="Times New Roman" w:hAnsi="Times New Roman" w:cs="Times New Roman"/>
          <w:lang w:val="en-GB"/>
        </w:rPr>
      </w:pPr>
      <w:proofErr w:type="spellStart"/>
      <w:r w:rsidRPr="00E7457F">
        <w:rPr>
          <w:rFonts w:ascii="Times New Roman" w:hAnsi="Times New Roman" w:cs="Times New Roman"/>
          <w:lang w:val="en-GB"/>
        </w:rPr>
        <w:t>Rockström</w:t>
      </w:r>
      <w:proofErr w:type="spellEnd"/>
      <w:r w:rsidRPr="00E7457F">
        <w:rPr>
          <w:rFonts w:ascii="Times New Roman" w:hAnsi="Times New Roman" w:cs="Times New Roman"/>
          <w:lang w:val="en-GB"/>
        </w:rPr>
        <w:t>, J., Steffen, W., Noone, K., Persson, Å., Chapin III, F. S., Lambin, E. F., ... &amp; Foley, J. A. (2009). A safe operating space for humanity. Nature, 461(7263), 472-475. https://doi.org/10.1038/461472a</w:t>
      </w:r>
    </w:p>
    <w:p w14:paraId="312A3147" w14:textId="77777777" w:rsidR="00DF5988" w:rsidRPr="00E7457F" w:rsidRDefault="00DF5988" w:rsidP="001B6D13">
      <w:pPr>
        <w:jc w:val="both"/>
        <w:rPr>
          <w:rFonts w:ascii="Times New Roman" w:hAnsi="Times New Roman" w:cs="Times New Roman"/>
          <w:lang w:val="en-GB"/>
        </w:rPr>
      </w:pPr>
      <w:r w:rsidRPr="00E7457F">
        <w:rPr>
          <w:rFonts w:ascii="Times New Roman" w:hAnsi="Times New Roman" w:cs="Times New Roman"/>
          <w:lang w:val="en-GB"/>
        </w:rPr>
        <w:t>Saez, E., &amp; Zucman, G. (2016). Wealth inequality in the United States since 1913: Evidence from capitalized income tax data. The Quarterly Journal of Economics, 131(2), 519-578.</w:t>
      </w:r>
    </w:p>
    <w:p w14:paraId="3AB14670" w14:textId="77777777" w:rsidR="00DF5988" w:rsidRPr="00E7457F" w:rsidRDefault="00DF5988" w:rsidP="001B6D13">
      <w:pPr>
        <w:jc w:val="both"/>
        <w:rPr>
          <w:rFonts w:ascii="Times New Roman" w:hAnsi="Times New Roman" w:cs="Times New Roman"/>
          <w:lang w:val="en-GB"/>
        </w:rPr>
      </w:pPr>
      <w:r w:rsidRPr="00E7457F">
        <w:rPr>
          <w:rFonts w:ascii="Times New Roman" w:hAnsi="Times New Roman" w:cs="Times New Roman"/>
          <w:lang w:val="en-GB"/>
        </w:rPr>
        <w:t>Schmelzer, M. (2016). The hegemony of growth: The OECD and the making of the economic growth paradigm. Cambridge University Press.</w:t>
      </w:r>
    </w:p>
    <w:p w14:paraId="08989632" w14:textId="77777777" w:rsidR="00DF5988" w:rsidRPr="00E7457F" w:rsidRDefault="00DF5988" w:rsidP="001B6D13">
      <w:pPr>
        <w:jc w:val="both"/>
        <w:rPr>
          <w:rFonts w:ascii="Times New Roman" w:hAnsi="Times New Roman" w:cs="Times New Roman"/>
          <w:lang w:val="en-GB"/>
        </w:rPr>
      </w:pPr>
      <w:r w:rsidRPr="00E7457F">
        <w:rPr>
          <w:rFonts w:ascii="Times New Roman" w:hAnsi="Times New Roman" w:cs="Times New Roman"/>
          <w:lang w:val="en-GB"/>
        </w:rPr>
        <w:t>Smith, A. (1994). The wealth of nations. Random House. (Original work published 1776)</w:t>
      </w:r>
    </w:p>
    <w:p w14:paraId="422A4E4B" w14:textId="77777777" w:rsidR="00DF5988" w:rsidRPr="00E7457F" w:rsidRDefault="00DF5988" w:rsidP="001B6D13">
      <w:pPr>
        <w:jc w:val="both"/>
        <w:rPr>
          <w:rFonts w:ascii="Times New Roman" w:hAnsi="Times New Roman" w:cs="Times New Roman"/>
          <w:lang w:val="en-GB"/>
        </w:rPr>
      </w:pPr>
      <w:r w:rsidRPr="00E7457F">
        <w:rPr>
          <w:rFonts w:ascii="Times New Roman" w:hAnsi="Times New Roman" w:cs="Times New Roman"/>
          <w:lang w:val="en-GB"/>
        </w:rPr>
        <w:lastRenderedPageBreak/>
        <w:t>Solow, R. M. (1956). A contribution to the theory of economic growth. The Quarterly Journal of Economics, 70(1), 65-94. https://doi.org/10.2307/1884513</w:t>
      </w:r>
    </w:p>
    <w:p w14:paraId="6566E96A" w14:textId="77777777" w:rsidR="00DF5988" w:rsidRPr="00E7457F" w:rsidRDefault="00DF5988" w:rsidP="001B6D13">
      <w:pPr>
        <w:jc w:val="both"/>
        <w:rPr>
          <w:rFonts w:ascii="Times New Roman" w:hAnsi="Times New Roman" w:cs="Times New Roman"/>
          <w:lang w:val="en-GB"/>
        </w:rPr>
      </w:pPr>
      <w:r w:rsidRPr="00E7457F">
        <w:rPr>
          <w:rFonts w:ascii="Times New Roman" w:hAnsi="Times New Roman" w:cs="Times New Roman"/>
          <w:lang w:val="en-GB"/>
        </w:rPr>
        <w:t xml:space="preserve">Steffen, W., </w:t>
      </w:r>
      <w:proofErr w:type="spellStart"/>
      <w:r w:rsidRPr="00E7457F">
        <w:rPr>
          <w:rFonts w:ascii="Times New Roman" w:hAnsi="Times New Roman" w:cs="Times New Roman"/>
          <w:lang w:val="en-GB"/>
        </w:rPr>
        <w:t>Crutzen</w:t>
      </w:r>
      <w:proofErr w:type="spellEnd"/>
      <w:r w:rsidRPr="00E7457F">
        <w:rPr>
          <w:rFonts w:ascii="Times New Roman" w:hAnsi="Times New Roman" w:cs="Times New Roman"/>
          <w:lang w:val="en-GB"/>
        </w:rPr>
        <w:t xml:space="preserve">, P. J., &amp; McNeill, J. R. (2011). The Anthropocene: Are humans now overwhelming the great forces of nature? AMBIO: A Journal of the Human Environment, 36(8), 614-621. </w:t>
      </w:r>
      <w:hyperlink r:id="rId5" w:history="1">
        <w:r w:rsidRPr="00E7457F">
          <w:rPr>
            <w:rStyle w:val="Hyperlink"/>
            <w:rFonts w:ascii="Times New Roman" w:hAnsi="Times New Roman" w:cs="Times New Roman"/>
            <w:lang w:val="en-GB"/>
          </w:rPr>
          <w:t>https://doi.org/10.1579/0044-7447-36.8.614</w:t>
        </w:r>
      </w:hyperlink>
    </w:p>
    <w:p w14:paraId="38157714" w14:textId="77777777" w:rsidR="00DF5988" w:rsidRPr="00E7457F" w:rsidRDefault="00DF5988" w:rsidP="001B6D13">
      <w:pPr>
        <w:jc w:val="both"/>
        <w:rPr>
          <w:rFonts w:ascii="Times New Roman" w:hAnsi="Times New Roman" w:cs="Times New Roman"/>
          <w:lang w:val="pl-PL"/>
        </w:rPr>
      </w:pPr>
      <w:r w:rsidRPr="00E7457F">
        <w:rPr>
          <w:rFonts w:ascii="Times New Roman" w:hAnsi="Times New Roman" w:cs="Times New Roman"/>
          <w:lang w:val="en-GB"/>
        </w:rPr>
        <w:t xml:space="preserve">Turner, G. M. (2014). Is global collapse imminent? An updated comparison of The Limits to Growth with historical data. </w:t>
      </w:r>
      <w:r w:rsidRPr="000B5B16">
        <w:rPr>
          <w:rFonts w:ascii="Times New Roman" w:hAnsi="Times New Roman" w:cs="Times New Roman"/>
          <w:lang w:val="pl-PL"/>
        </w:rPr>
        <w:t xml:space="preserve">GAIA, 23(2), 116-124. </w:t>
      </w:r>
      <w:hyperlink r:id="rId6" w:history="1">
        <w:r w:rsidRPr="00E7457F">
          <w:rPr>
            <w:rStyle w:val="Hyperlink"/>
            <w:rFonts w:ascii="Times New Roman" w:hAnsi="Times New Roman" w:cs="Times New Roman"/>
            <w:lang w:val="pl-PL"/>
          </w:rPr>
          <w:t>https://doi.org/10.14512/gaia.23.2.6</w:t>
        </w:r>
      </w:hyperlink>
    </w:p>
    <w:p w14:paraId="2A85FF80" w14:textId="77777777" w:rsidR="00DF5988" w:rsidRPr="00E7457F" w:rsidRDefault="00DF5988" w:rsidP="001B6D13">
      <w:pPr>
        <w:jc w:val="both"/>
        <w:rPr>
          <w:rFonts w:ascii="Times New Roman" w:hAnsi="Times New Roman" w:cs="Times New Roman"/>
          <w:lang w:val="en-GB"/>
        </w:rPr>
      </w:pPr>
      <w:r w:rsidRPr="00E7457F">
        <w:rPr>
          <w:rFonts w:ascii="Times New Roman" w:hAnsi="Times New Roman" w:cs="Times New Roman"/>
          <w:lang w:val="pl-PL"/>
        </w:rPr>
        <w:t xml:space="preserve">Ura, K., Alkire, S., &amp; Zangmo, T. (2012). </w:t>
      </w:r>
      <w:r w:rsidRPr="00E7457F">
        <w:rPr>
          <w:rFonts w:ascii="Times New Roman" w:hAnsi="Times New Roman" w:cs="Times New Roman"/>
          <w:lang w:val="en-GB"/>
        </w:rPr>
        <w:t>A short guide to Gross National Happiness index. The Centre for Bhutan Studies.</w:t>
      </w:r>
    </w:p>
    <w:p w14:paraId="71A7A50B" w14:textId="77777777" w:rsidR="00DF5988" w:rsidRPr="00E7457F" w:rsidRDefault="00DF5988" w:rsidP="001B6D13">
      <w:pPr>
        <w:jc w:val="both"/>
        <w:rPr>
          <w:rFonts w:ascii="Times New Roman" w:hAnsi="Times New Roman" w:cs="Times New Roman"/>
          <w:lang w:val="en-GB"/>
        </w:rPr>
      </w:pPr>
      <w:r w:rsidRPr="00E7457F">
        <w:rPr>
          <w:rFonts w:ascii="Times New Roman" w:hAnsi="Times New Roman" w:cs="Times New Roman"/>
          <w:lang w:val="en-GB"/>
        </w:rPr>
        <w:t>Victor, P. A. (2008). Managing without growth: Slower by design, not disaster. Edward Elgar Publishing.</w:t>
      </w:r>
    </w:p>
    <w:p w14:paraId="47738524" w14:textId="77777777" w:rsidR="00DF5988" w:rsidRPr="00E7457F" w:rsidRDefault="00DF5988" w:rsidP="001B6D13">
      <w:pPr>
        <w:jc w:val="both"/>
        <w:rPr>
          <w:rFonts w:ascii="Times New Roman" w:hAnsi="Times New Roman" w:cs="Times New Roman"/>
          <w:lang w:val="en-GB"/>
        </w:rPr>
      </w:pPr>
      <w:r w:rsidRPr="00E7457F">
        <w:rPr>
          <w:rFonts w:ascii="Times New Roman" w:hAnsi="Times New Roman" w:cs="Times New Roman"/>
          <w:lang w:val="en-GB"/>
        </w:rPr>
        <w:t>WWF. (2020). Living planet report 2020: Bending the curve of biodiversity loss. WWF International.</w:t>
      </w:r>
    </w:p>
    <w:p w14:paraId="74B8DCD0" w14:textId="77777777" w:rsidR="00DF5988" w:rsidRPr="00E7457F" w:rsidRDefault="00DF5988" w:rsidP="001B6D13">
      <w:pPr>
        <w:jc w:val="both"/>
        <w:rPr>
          <w:rFonts w:ascii="Times New Roman" w:hAnsi="Times New Roman" w:cs="Times New Roman"/>
          <w:lang w:val="en-GB"/>
        </w:rPr>
      </w:pPr>
    </w:p>
    <w:p w14:paraId="49B5FF12" w14:textId="77777777" w:rsidR="00DF5988" w:rsidRPr="001B6D13" w:rsidRDefault="00DF5988" w:rsidP="001B6D13">
      <w:pPr>
        <w:jc w:val="both"/>
        <w:rPr>
          <w:rFonts w:ascii="Times New Roman" w:hAnsi="Times New Roman" w:cs="Times New Roman"/>
          <w:sz w:val="24"/>
          <w:szCs w:val="24"/>
          <w:lang w:val="en-GB"/>
        </w:rPr>
      </w:pPr>
    </w:p>
    <w:sectPr w:rsidR="00DF5988" w:rsidRPr="001B6D13" w:rsidSect="00E2318C">
      <w:pgSz w:w="11906" w:h="16838"/>
      <w:pgMar w:top="2268" w:right="1701" w:bottom="22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22382D"/>
    <w:multiLevelType w:val="multilevel"/>
    <w:tmpl w:val="83F601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8515310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2E3"/>
    <w:rsid w:val="000040A5"/>
    <w:rsid w:val="000B41B0"/>
    <w:rsid w:val="000B5B16"/>
    <w:rsid w:val="000F0F99"/>
    <w:rsid w:val="001216C4"/>
    <w:rsid w:val="001B6D13"/>
    <w:rsid w:val="002B56BF"/>
    <w:rsid w:val="00313611"/>
    <w:rsid w:val="004168A7"/>
    <w:rsid w:val="00432100"/>
    <w:rsid w:val="00464572"/>
    <w:rsid w:val="005159C0"/>
    <w:rsid w:val="00560BA1"/>
    <w:rsid w:val="005D2BDC"/>
    <w:rsid w:val="00611B5C"/>
    <w:rsid w:val="0061534F"/>
    <w:rsid w:val="00636400"/>
    <w:rsid w:val="006C22E3"/>
    <w:rsid w:val="006F1C3B"/>
    <w:rsid w:val="007D7F01"/>
    <w:rsid w:val="008E10BF"/>
    <w:rsid w:val="009D0CD1"/>
    <w:rsid w:val="00A149E1"/>
    <w:rsid w:val="00AF2D2F"/>
    <w:rsid w:val="00B054C0"/>
    <w:rsid w:val="00B60B88"/>
    <w:rsid w:val="00BF6DC6"/>
    <w:rsid w:val="00C50C1A"/>
    <w:rsid w:val="00CE10A1"/>
    <w:rsid w:val="00D31E48"/>
    <w:rsid w:val="00D75FF2"/>
    <w:rsid w:val="00DA17F0"/>
    <w:rsid w:val="00DB01C0"/>
    <w:rsid w:val="00DC1C5B"/>
    <w:rsid w:val="00DF5988"/>
    <w:rsid w:val="00E2318C"/>
    <w:rsid w:val="00E7457F"/>
    <w:rsid w:val="00EF7E68"/>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152E5"/>
  <w15:chartTrackingRefBased/>
  <w15:docId w15:val="{B9714DE7-73D8-40C9-AD12-7AD09DE4D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22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22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C22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22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22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22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22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22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22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22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22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C22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22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22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22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22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22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22E3"/>
    <w:rPr>
      <w:rFonts w:eastAsiaTheme="majorEastAsia" w:cstheme="majorBidi"/>
      <w:color w:val="272727" w:themeColor="text1" w:themeTint="D8"/>
    </w:rPr>
  </w:style>
  <w:style w:type="paragraph" w:styleId="Title">
    <w:name w:val="Title"/>
    <w:basedOn w:val="Normal"/>
    <w:next w:val="Normal"/>
    <w:link w:val="TitleChar"/>
    <w:uiPriority w:val="10"/>
    <w:qFormat/>
    <w:rsid w:val="006C22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22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22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22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22E3"/>
    <w:pPr>
      <w:spacing w:before="160"/>
      <w:jc w:val="center"/>
    </w:pPr>
    <w:rPr>
      <w:i/>
      <w:iCs/>
      <w:color w:val="404040" w:themeColor="text1" w:themeTint="BF"/>
    </w:rPr>
  </w:style>
  <w:style w:type="character" w:customStyle="1" w:styleId="QuoteChar">
    <w:name w:val="Quote Char"/>
    <w:basedOn w:val="DefaultParagraphFont"/>
    <w:link w:val="Quote"/>
    <w:uiPriority w:val="29"/>
    <w:rsid w:val="006C22E3"/>
    <w:rPr>
      <w:i/>
      <w:iCs/>
      <w:color w:val="404040" w:themeColor="text1" w:themeTint="BF"/>
    </w:rPr>
  </w:style>
  <w:style w:type="paragraph" w:styleId="ListParagraph">
    <w:name w:val="List Paragraph"/>
    <w:basedOn w:val="Normal"/>
    <w:uiPriority w:val="34"/>
    <w:qFormat/>
    <w:rsid w:val="006C22E3"/>
    <w:pPr>
      <w:ind w:left="720"/>
      <w:contextualSpacing/>
    </w:pPr>
  </w:style>
  <w:style w:type="character" w:styleId="IntenseEmphasis">
    <w:name w:val="Intense Emphasis"/>
    <w:basedOn w:val="DefaultParagraphFont"/>
    <w:uiPriority w:val="21"/>
    <w:qFormat/>
    <w:rsid w:val="006C22E3"/>
    <w:rPr>
      <w:i/>
      <w:iCs/>
      <w:color w:val="0F4761" w:themeColor="accent1" w:themeShade="BF"/>
    </w:rPr>
  </w:style>
  <w:style w:type="paragraph" w:styleId="IntenseQuote">
    <w:name w:val="Intense Quote"/>
    <w:basedOn w:val="Normal"/>
    <w:next w:val="Normal"/>
    <w:link w:val="IntenseQuoteChar"/>
    <w:uiPriority w:val="30"/>
    <w:qFormat/>
    <w:rsid w:val="006C22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22E3"/>
    <w:rPr>
      <w:i/>
      <w:iCs/>
      <w:color w:val="0F4761" w:themeColor="accent1" w:themeShade="BF"/>
    </w:rPr>
  </w:style>
  <w:style w:type="character" w:styleId="IntenseReference">
    <w:name w:val="Intense Reference"/>
    <w:basedOn w:val="DefaultParagraphFont"/>
    <w:uiPriority w:val="32"/>
    <w:qFormat/>
    <w:rsid w:val="006C22E3"/>
    <w:rPr>
      <w:b/>
      <w:bCs/>
      <w:smallCaps/>
      <w:color w:val="0F4761" w:themeColor="accent1" w:themeShade="BF"/>
      <w:spacing w:val="5"/>
    </w:rPr>
  </w:style>
  <w:style w:type="character" w:styleId="Hyperlink">
    <w:name w:val="Hyperlink"/>
    <w:basedOn w:val="DefaultParagraphFont"/>
    <w:uiPriority w:val="99"/>
    <w:unhideWhenUsed/>
    <w:rsid w:val="00AF2D2F"/>
    <w:rPr>
      <w:color w:val="467886" w:themeColor="hyperlink"/>
      <w:u w:val="single"/>
    </w:rPr>
  </w:style>
  <w:style w:type="character" w:styleId="UnresolvedMention">
    <w:name w:val="Unresolved Mention"/>
    <w:basedOn w:val="DefaultParagraphFont"/>
    <w:uiPriority w:val="99"/>
    <w:semiHidden/>
    <w:unhideWhenUsed/>
    <w:rsid w:val="00AF2D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837370">
      <w:bodyDiv w:val="1"/>
      <w:marLeft w:val="0"/>
      <w:marRight w:val="0"/>
      <w:marTop w:val="0"/>
      <w:marBottom w:val="0"/>
      <w:divBdr>
        <w:top w:val="none" w:sz="0" w:space="0" w:color="auto"/>
        <w:left w:val="none" w:sz="0" w:space="0" w:color="auto"/>
        <w:bottom w:val="none" w:sz="0" w:space="0" w:color="auto"/>
        <w:right w:val="none" w:sz="0" w:space="0" w:color="auto"/>
      </w:divBdr>
    </w:div>
    <w:div w:id="996879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4512/gaia.23.2.6" TargetMode="External"/><Relationship Id="rId5" Type="http://schemas.openxmlformats.org/officeDocument/2006/relationships/hyperlink" Target="https://doi.org/10.1579/0044-7447-36.8.614"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9466</Words>
  <Characters>53959</Characters>
  <Application>Microsoft Office Word</Application>
  <DocSecurity>0</DocSecurity>
  <Lines>449</Lines>
  <Paragraphs>126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Frans Lavdari</dc:creator>
  <cp:keywords/>
  <dc:description/>
  <cp:lastModifiedBy>Constantinos Repapis</cp:lastModifiedBy>
  <cp:revision>2</cp:revision>
  <dcterms:created xsi:type="dcterms:W3CDTF">2025-03-05T20:22:00Z</dcterms:created>
  <dcterms:modified xsi:type="dcterms:W3CDTF">2025-03-05T20:22:00Z</dcterms:modified>
</cp:coreProperties>
</file>